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firstLine="7033"/>
        <w:spacing w:before="110" w:line="450" w:lineRule="exact"/>
        <w:rPr/>
      </w:pPr>
      <w:r>
        <mc:AlternateContent xmlns:mc="http://schemas.openxmlformats.org/markup-compatibility/2006">
          <mc:Choice Requires="wps">
            <w:drawing>
              <wp:anchor distT="0" distB="0" distL="0" distR="0" simplePos="0" relativeHeight="251659264" behindDoc="1" locked="0" layoutInCell="0" allowOverlap="1">
                <wp:simplePos x="0" y="0"/>
                <wp:positionH relativeFrom="page">
                  <wp:posOffset>3998991</wp:posOffset>
                </wp:positionH>
                <wp:positionV relativeFrom="page">
                  <wp:posOffset>1067400</wp:posOffset>
                </wp:positionV>
                <wp:extent cx="982344" cy="7620"/>
                <wp:effectExtent l="0" t="0" r="0" b="0"/>
                <wp:wrapNone/>
                <wp:docPr id="2" name="Rect 2"/>
                <wp:cNvGraphicFramePr/>
                <a:graphic>
                  <a:graphicData uri="http://schemas.microsoft.com/office/word/2010/wordprocessingShape">
                    <wps:wsp>
                      <wps:cNvPr id="2" name="Rect 2"/>
                      <wps:cNvSpPr/>
                      <wps:spPr>
                        <a:xfrm>
                          <a:off x="3998991" y="1067400"/>
                          <a:ext cx="982344" cy="7620"/>
                        </a:xfrm>
                        <a:prstGeom prst="rect">
                          <a:avLst/>
                        </a:prstGeom>
                        <a:solidFill>
                          <a:srgbClr val="76787B"/>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2" style="position:absolute;margin-left:314.881pt;margin-top:84.0473pt;mso-position-vertical-relative:page;mso-position-horizontal-relative:page;width:77.35pt;height:0.6pt;z-index:-251657216;" o:allowincell="f" fillcolor="#76787B" filled="true" stroked="false"/>
            </w:pict>
          </mc:Fallback>
        </mc:AlternateContent>
      </w:r>
      <w:r>
        <w:pict>
          <v:rect id="_x0000_s4" style="position:absolute;margin-left:139.821pt;margin-top:135.468pt;mso-position-vertical-relative:page;mso-position-horizontal-relative:page;width:188.95pt;height:0.85pt;z-index:251663360;" o:allowincell="f" fillcolor="#939598" filled="true" stroked="false"/>
        </w:pict>
      </w:r>
      <w:r>
        <w:pict>
          <v:rect id="_x0000_s6" style="position:absolute;margin-left:374.934pt;margin-top:68.0317pt;mso-position-vertical-relative:page;mso-position-horizontal-relative:page;width:149.5pt;height:0.85pt;z-index:251664384;" o:allowincell="f" fillcolor="#939598" filled="true" stroked="false"/>
        </w:pict>
      </w:r>
      <w:r>
        <w:pict>
          <v:rect id="_x0000_s8" style="position:absolute;margin-left:1.1611pt;margin-top:148.678pt;mso-position-vertical-relative:page;mso-position-horizontal-relative:page;width:355.3pt;height:0.6pt;z-index:251661312;" o:allowincell="f" fillcolor="#939598" filled="true" stroked="false"/>
        </w:pict>
      </w:r>
      <w:r>
        <w:drawing>
          <wp:anchor distT="0" distB="0" distL="0" distR="0" simplePos="0" relativeHeight="251660288" behindDoc="1" locked="0" layoutInCell="0" allowOverlap="1">
            <wp:simplePos x="0" y="0"/>
            <wp:positionH relativeFrom="page">
              <wp:posOffset>4978520</wp:posOffset>
            </wp:positionH>
            <wp:positionV relativeFrom="page">
              <wp:posOffset>982801</wp:posOffset>
            </wp:positionV>
            <wp:extent cx="1013488" cy="429107"/>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013488" cy="429107"/>
                    </a:xfrm>
                    <a:prstGeom prst="rect">
                      <a:avLst/>
                    </a:prstGeom>
                  </pic:spPr>
                </pic:pic>
              </a:graphicData>
            </a:graphic>
          </wp:anchor>
        </w:drawing>
      </w:r>
      <w:r>
        <w:pict>
          <v:shape id="_x0000_s10" style="position:absolute;margin-left:114.882pt;margin-top:111.804pt;mso-position-vertical-relative:page;mso-position-horizontal-relative:page;width:25.25pt;height:24.4pt;z-index:-251658240;" o:allowincell="f" filled="false" strokecolor="#939598" strokeweight="0.85pt" coordsize="505,487" coordorigin="0,0" path="m498,481l5,6e">
            <v:stroke joinstyle="miter" miterlimit="4"/>
          </v:shape>
        </w:pict>
      </w:r>
      <w:r>
        <w:drawing>
          <wp:anchor distT="0" distB="0" distL="0" distR="0" simplePos="0" relativeHeight="251665408" behindDoc="0" locked="0" layoutInCell="0" allowOverlap="1">
            <wp:simplePos x="0" y="0"/>
            <wp:positionH relativeFrom="page">
              <wp:posOffset>3914809</wp:posOffset>
            </wp:positionH>
            <wp:positionV relativeFrom="page">
              <wp:posOffset>1029965</wp:posOffset>
            </wp:positionV>
            <wp:extent cx="92811" cy="92874"/>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92811" cy="92874"/>
                    </a:xfrm>
                    <a:prstGeom prst="rect">
                      <a:avLst/>
                    </a:prstGeom>
                  </pic:spPr>
                </pic:pic>
              </a:graphicData>
            </a:graphic>
          </wp:anchor>
        </w:drawing>
      </w:r>
      <w:r>
        <w:drawing>
          <wp:anchor distT="0" distB="0" distL="0" distR="0" simplePos="0" relativeHeight="251662336" behindDoc="0" locked="0" layoutInCell="0" allowOverlap="1">
            <wp:simplePos x="0" y="0"/>
            <wp:positionH relativeFrom="page">
              <wp:posOffset>4160879</wp:posOffset>
            </wp:positionH>
            <wp:positionV relativeFrom="page">
              <wp:posOffset>1679407</wp:posOffset>
            </wp:positionV>
            <wp:extent cx="92811" cy="92874"/>
            <wp:effectExtent l="0" t="0" r="0" b="0"/>
            <wp:wrapNone/>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92811" cy="92874"/>
                    </a:xfrm>
                    <a:prstGeom prst="rect">
                      <a:avLst/>
                    </a:prstGeom>
                  </pic:spPr>
                </pic:pic>
              </a:graphicData>
            </a:graphic>
          </wp:anchor>
        </w:drawing>
      </w:r>
      <w:r>
        <w:rPr>
          <w:position w:val="-8"/>
        </w:rPr>
        <w:drawing>
          <wp:inline distT="0" distB="0" distL="0" distR="0">
            <wp:extent cx="298941" cy="285694"/>
            <wp:effectExtent l="0" t="0" r="0" b="0"/>
            <wp:docPr id="10" name="IM 10"/>
            <wp:cNvGraphicFramePr/>
            <a:graphic>
              <a:graphicData uri="http://schemas.openxmlformats.org/drawingml/2006/picture">
                <pic:pic>
                  <pic:nvPicPr>
                    <pic:cNvPr id="10" name="IM 10"/>
                    <pic:cNvPicPr/>
                  </pic:nvPicPr>
                  <pic:blipFill>
                    <a:blip r:embed="rId5"/>
                    <a:stretch>
                      <a:fillRect/>
                    </a:stretch>
                  </pic:blipFill>
                  <pic:spPr>
                    <a:xfrm rot="0">
                      <a:off x="0" y="0"/>
                      <a:ext cx="298941" cy="285694"/>
                    </a:xfrm>
                    <a:prstGeom prst="rect">
                      <a:avLst/>
                    </a:prstGeom>
                  </pic:spPr>
                </pic:pic>
              </a:graphicData>
            </a:graphic>
          </wp:inline>
        </w:drawing>
      </w:r>
    </w:p>
    <w:p>
      <w:pPr>
        <w:spacing w:line="795" w:lineRule="exact"/>
        <w:rPr/>
      </w:pPr>
      <w:r>
        <w:rPr>
          <w:position w:val="-16"/>
        </w:rPr>
        <w:pict>
          <v:group id="_x0000_s12" style="mso-position-vertical-relative:line;mso-position-horizontal-relative:char;width:524.45pt;height:39.9pt;" filled="false" stroked="false" coordsize="10489,798" coordorigin="0,0">
            <v:shape id="_x0000_s14" style="position:absolute;left:0;top:-10;width:10489;height:808;" filled="false" stroked="false" type="#_x0000_t75">
              <v:imagedata o:title="" r:id="rId6"/>
            </v:shape>
            <v:shape id="_x0000_s16" style="position:absolute;left:-20;top:-30;width:10529;height:848;" filled="false" stroked="false" type="#_x0000_t202">
              <v:fill on="false"/>
              <v:stroke on="false"/>
              <v:path/>
              <v:imagedata o:title=""/>
              <o:lock v:ext="edit" aspectratio="false"/>
              <v:textbox inset="0mm,0mm,0mm,0mm">
                <w:txbxContent>
                  <w:p>
                    <w:pPr>
                      <w:ind w:left="3063"/>
                      <w:spacing w:before="211" w:line="204" w:lineRule="auto"/>
                      <w:rPr>
                        <w:rFonts w:ascii="Microsoft YaHei" w:hAnsi="Microsoft YaHei" w:eastAsia="Microsoft YaHei" w:cs="Microsoft YaHei"/>
                        <w:sz w:val="40"/>
                        <w:szCs w:val="40"/>
                      </w:rPr>
                    </w:pPr>
                    <w:r>
                      <w:rPr>
                        <w:rFonts w:ascii="Microsoft YaHei" w:hAnsi="Microsoft YaHei" w:eastAsia="Microsoft YaHei" w:cs="Microsoft YaHei"/>
                        <w:sz w:val="40"/>
                        <w:szCs w:val="40"/>
                        <w:color w:val="FFFFFF"/>
                        <w:spacing w:val="-5"/>
                      </w:rPr>
                      <w:t>第 </w:t>
                    </w:r>
                    <w:r>
                      <w:rPr>
                        <w:rFonts w:ascii="Arial" w:hAnsi="Arial" w:eastAsia="Arial" w:cs="Arial"/>
                        <w:sz w:val="40"/>
                        <w:szCs w:val="40"/>
                        <w:b/>
                        <w:bCs/>
                        <w:color w:val="FFFFFF"/>
                        <w:spacing w:val="-5"/>
                      </w:rPr>
                      <w:t>1 </w:t>
                    </w:r>
                    <w:r>
                      <w:rPr>
                        <w:rFonts w:ascii="Microsoft YaHei" w:hAnsi="Microsoft YaHei" w:eastAsia="Microsoft YaHei" w:cs="Microsoft YaHei"/>
                        <w:sz w:val="40"/>
                        <w:szCs w:val="40"/>
                        <w:color w:val="FFFFFF"/>
                        <w:spacing w:val="-5"/>
                      </w:rPr>
                      <w:t>章</w:t>
                    </w:r>
                    <w:r>
                      <w:rPr>
                        <w:rFonts w:ascii="Microsoft YaHei" w:hAnsi="Microsoft YaHei" w:eastAsia="Microsoft YaHei" w:cs="Microsoft YaHei"/>
                        <w:sz w:val="40"/>
                        <w:szCs w:val="40"/>
                        <w:color w:val="FFFFFF"/>
                        <w:spacing w:val="21"/>
                      </w:rPr>
                      <w:t xml:space="preserve">   </w:t>
                    </w:r>
                    <w:r>
                      <w:rPr>
                        <w:rFonts w:ascii="Microsoft YaHei" w:hAnsi="Microsoft YaHei" w:eastAsia="Microsoft YaHei" w:cs="Microsoft YaHei"/>
                        <w:sz w:val="40"/>
                        <w:szCs w:val="40"/>
                        <w:color w:val="FFFFFF"/>
                        <w:spacing w:val="-5"/>
                      </w:rPr>
                      <w:t>数据与数据治理</w:t>
                    </w:r>
                    <w:r>
                      <w:rPr>
                        <w:rFonts w:ascii="Microsoft YaHei" w:hAnsi="Microsoft YaHei" w:eastAsia="Microsoft YaHei" w:cs="Microsoft YaHei"/>
                        <w:sz w:val="40"/>
                        <w:szCs w:val="40"/>
                        <w:color w:val="FFFFFF"/>
                        <w:spacing w:val="10"/>
                      </w:rPr>
                      <w:t xml:space="preserve">       </w:t>
                    </w:r>
                    <w:r>
                      <w:rPr>
                        <w:rFonts w:ascii="Microsoft YaHei" w:hAnsi="Microsoft YaHei" w:eastAsia="Microsoft YaHei" w:cs="Microsoft YaHei"/>
                        <w:sz w:val="40"/>
                        <w:szCs w:val="40"/>
                        <w:strike/>
                        <w:color w:val="FFFFFF"/>
                      </w:rPr>
                      <w:t xml:space="preserve">                  </w:t>
                    </w:r>
                  </w:p>
                </w:txbxContent>
              </v:textbox>
            </v:shape>
          </v:group>
        </w:pict>
      </w:r>
    </w:p>
    <w:p>
      <w:pPr>
        <w:ind w:firstLine="7124"/>
        <w:spacing w:line="374" w:lineRule="exact"/>
        <w:rPr/>
      </w:pPr>
      <w:r>
        <w:rPr>
          <w:position w:val="-7"/>
        </w:rPr>
        <w:pict>
          <v:shape id="_x0000_s18" style="mso-position-vertical-relative:line;mso-position-horizontal-relative:char;width:20.25pt;height:18.85pt;" filled="false" strokecolor="#939598" strokeweight="0.57pt" coordsize="405,377" coordorigin="0,0" path="m401,4l3,372e">
            <v:stroke joinstyle="miter" miterlimit="4"/>
          </v:shape>
        </w:pict>
      </w:r>
    </w:p>
    <w:p>
      <w:pPr>
        <w:spacing w:line="304" w:lineRule="auto"/>
        <w:rPr>
          <w:rFonts w:ascii="Arial"/>
          <w:sz w:val="21"/>
        </w:rPr>
      </w:pPr>
      <w:r/>
    </w:p>
    <w:p>
      <w:pPr>
        <w:spacing w:line="305" w:lineRule="auto"/>
        <w:rPr>
          <w:rFonts w:ascii="Arial"/>
          <w:sz w:val="21"/>
        </w:rPr>
      </w:pPr>
      <w:r/>
    </w:p>
    <w:p>
      <w:pPr>
        <w:pStyle w:val="BodyText"/>
        <w:ind w:left="1138" w:right="1062" w:firstLine="425"/>
        <w:spacing w:before="69" w:line="279" w:lineRule="auto"/>
        <w:jc w:val="both"/>
        <w:rPr/>
      </w:pPr>
      <w:r>
        <w:rPr>
          <w:color w:val="231F20"/>
          <w:spacing w:val="2"/>
        </w:rPr>
        <w:t>数据（</w:t>
      </w:r>
      <w:r>
        <w:rPr>
          <w:rFonts w:ascii="Times New Roman" w:hAnsi="Times New Roman" w:eastAsia="Times New Roman" w:cs="Times New Roman"/>
          <w:color w:val="231F20"/>
        </w:rPr>
        <w:t>data</w:t>
      </w:r>
      <w:r>
        <w:rPr>
          <w:color w:val="231F20"/>
          <w:spacing w:val="2"/>
        </w:rPr>
        <w:t>）作为重要的生产要素已经融入人类社会生活的方方面面。习近平总书记 </w:t>
      </w:r>
      <w:r>
        <w:rPr>
          <w:color w:val="231F20"/>
        </w:rPr>
        <w:t>多次强调，要构建以数据为关键要素的数字经济，在创新、协调、绿色、开放、共享的新 </w:t>
      </w:r>
      <w:r>
        <w:rPr>
          <w:color w:val="231F20"/>
        </w:rPr>
        <w:t>发展理念指引下，推进数字产业化、产业数字化，引导数字经济和实体经济深度融合。可 </w:t>
      </w:r>
      <w:r>
        <w:rPr>
          <w:color w:val="231F20"/>
        </w:rPr>
        <w:t>见，数据要素对经济社会的发展起着关键作用。伴随着</w:t>
      </w:r>
      <w:r>
        <w:rPr>
          <w:color w:val="231F20"/>
          <w:spacing w:val="-1"/>
        </w:rPr>
        <w:t>科技与社会的发展，数据在被应用</w:t>
      </w:r>
      <w:r>
        <w:rPr>
          <w:color w:val="231F20"/>
        </w:rPr>
        <w:t xml:space="preserve">  </w:t>
      </w:r>
      <w:r>
        <w:rPr>
          <w:color w:val="231F20"/>
          <w:spacing w:val="2"/>
        </w:rPr>
        <w:t>到各行各业的过程中也出现了一些问题，为了不断激发数据的核心价值，促进服务创新，</w:t>
      </w:r>
      <w:r>
        <w:rPr>
          <w:color w:val="231F20"/>
          <w:spacing w:val="14"/>
        </w:rPr>
        <w:t xml:space="preserve"> </w:t>
      </w:r>
      <w:r>
        <w:rPr>
          <w:color w:val="231F20"/>
          <w:spacing w:val="3"/>
        </w:rPr>
        <w:t>数据治理（</w:t>
      </w:r>
      <w:r>
        <w:rPr>
          <w:rFonts w:ascii="Times New Roman" w:hAnsi="Times New Roman" w:eastAsia="Times New Roman" w:cs="Times New Roman"/>
          <w:color w:val="231F20"/>
        </w:rPr>
        <w:t>data</w:t>
      </w:r>
      <w:r>
        <w:rPr>
          <w:rFonts w:ascii="Times New Roman" w:hAnsi="Times New Roman" w:eastAsia="Times New Roman" w:cs="Times New Roman"/>
          <w:color w:val="231F20"/>
          <w:spacing w:val="23"/>
          <w:w w:val="101"/>
        </w:rPr>
        <w:t xml:space="preserve"> </w:t>
      </w:r>
      <w:r>
        <w:rPr>
          <w:rFonts w:ascii="Times New Roman" w:hAnsi="Times New Roman" w:eastAsia="Times New Roman" w:cs="Times New Roman"/>
          <w:color w:val="231F20"/>
        </w:rPr>
        <w:t>governance</w:t>
      </w:r>
      <w:r>
        <w:rPr>
          <w:color w:val="231F20"/>
          <w:spacing w:val="3"/>
        </w:rPr>
        <w:t>）成为必由之路。本章的重点内容是</w:t>
      </w:r>
      <w:r>
        <w:rPr>
          <w:color w:val="231F20"/>
          <w:spacing w:val="2"/>
        </w:rPr>
        <w:t>对数据的价值、数据治理 </w:t>
      </w:r>
      <w:r>
        <w:rPr>
          <w:color w:val="231F20"/>
          <w:spacing w:val="2"/>
        </w:rPr>
        <w:t>的内涵以及数据治理的发展进行介绍，为数据治理框架体系等内容的学习进行基础铺垫，</w:t>
      </w:r>
      <w:r>
        <w:rPr>
          <w:color w:val="231F20"/>
          <w:spacing w:val="17"/>
        </w:rPr>
        <w:t xml:space="preserve"> </w:t>
      </w:r>
      <w:r>
        <w:rPr>
          <w:color w:val="231F20"/>
          <w:spacing w:val="-2"/>
        </w:rPr>
        <w:t>对数据治理相关内容提供整体把握思路。</w:t>
      </w:r>
    </w:p>
    <w:p>
      <w:pPr>
        <w:spacing w:line="306" w:lineRule="auto"/>
        <w:rPr>
          <w:rFonts w:ascii="Arial"/>
          <w:sz w:val="21"/>
        </w:rPr>
      </w:pPr>
      <w:r/>
    </w:p>
    <w:p>
      <w:pPr>
        <w:pStyle w:val="BodyText"/>
        <w:ind w:left="1123"/>
        <w:spacing w:before="68" w:line="236" w:lineRule="auto"/>
        <w:rPr/>
      </w:pPr>
      <w:r>
        <w:rPr>
          <w:b/>
          <w:bCs/>
          <w:color w:val="231F20"/>
          <w:spacing w:val="-16"/>
        </w:rPr>
        <w:t>【教学目标】</w:t>
      </w:r>
      <w:r>
        <w:rPr>
          <w:color w:val="231F20"/>
          <w:spacing w:val="-16"/>
        </w:rPr>
        <w:t xml:space="preserve"> </w:t>
      </w:r>
      <w:r>
        <w:rPr>
          <w:position w:val="-3"/>
        </w:rPr>
        <w:drawing>
          <wp:inline distT="0" distB="0" distL="0" distR="0">
            <wp:extent cx="378891" cy="132448"/>
            <wp:effectExtent l="0" t="0" r="0" b="0"/>
            <wp:docPr id="12" name="IM 12"/>
            <wp:cNvGraphicFramePr/>
            <a:graphic>
              <a:graphicData uri="http://schemas.openxmlformats.org/drawingml/2006/picture">
                <pic:pic>
                  <pic:nvPicPr>
                    <pic:cNvPr id="12" name="IM 12"/>
                    <pic:cNvPicPr/>
                  </pic:nvPicPr>
                  <pic:blipFill>
                    <a:blip r:embed="rId7"/>
                    <a:stretch>
                      <a:fillRect/>
                    </a:stretch>
                  </pic:blipFill>
                  <pic:spPr>
                    <a:xfrm rot="0">
                      <a:off x="0" y="0"/>
                      <a:ext cx="378891" cy="132448"/>
                    </a:xfrm>
                    <a:prstGeom prst="rect">
                      <a:avLst/>
                    </a:prstGeom>
                  </pic:spPr>
                </pic:pic>
              </a:graphicData>
            </a:graphic>
          </wp:inline>
        </w:drawing>
      </w:r>
    </w:p>
    <w:p>
      <w:pPr>
        <w:pStyle w:val="BodyText"/>
        <w:ind w:left="1140" w:right="1144" w:firstLine="426"/>
        <w:spacing w:before="59" w:line="269" w:lineRule="auto"/>
        <w:jc w:val="both"/>
        <w:rPr/>
      </w:pPr>
      <w:r>
        <w:rPr>
          <w:color w:val="231F20"/>
          <w:spacing w:val="6"/>
        </w:rPr>
        <w:t>介绍课程的主要特色，使学生对本课程的整体设计、教学目的、核心内容等</w:t>
      </w:r>
      <w:r>
        <w:rPr>
          <w:color w:val="231F20"/>
          <w:spacing w:val="5"/>
        </w:rPr>
        <w:t>进行充</w:t>
      </w:r>
      <w:r>
        <w:rPr>
          <w:color w:val="231F20"/>
        </w:rPr>
        <w:t xml:space="preserve"> </w:t>
      </w:r>
      <w:r>
        <w:rPr>
          <w:color w:val="231F20"/>
        </w:rPr>
        <w:t>分的理解。讲授数据与数据治理的相关概念、内涵、发展，通过课堂互动交流进行问题辨</w:t>
      </w:r>
      <w:r>
        <w:rPr>
          <w:color w:val="231F20"/>
          <w:spacing w:val="12"/>
        </w:rPr>
        <w:t xml:space="preserve"> </w:t>
      </w:r>
      <w:r>
        <w:rPr>
          <w:color w:val="231F20"/>
        </w:rPr>
        <w:t>析，引导学生以多元化视角观察数据，注重数据作为发展要素的意义，对数据治理的基础</w:t>
      </w:r>
      <w:r>
        <w:rPr>
          <w:color w:val="231F20"/>
          <w:spacing w:val="10"/>
        </w:rPr>
        <w:t xml:space="preserve"> </w:t>
      </w:r>
      <w:r>
        <w:rPr>
          <w:color w:val="231F20"/>
          <w:spacing w:val="-4"/>
        </w:rPr>
        <w:t>进行深刻的认识。</w:t>
      </w:r>
    </w:p>
    <w:p>
      <w:pPr>
        <w:pStyle w:val="BodyText"/>
        <w:ind w:left="1123"/>
        <w:spacing w:before="68" w:line="236" w:lineRule="auto"/>
        <w:rPr/>
      </w:pPr>
      <w:r>
        <w:rPr>
          <w:b/>
          <w:bCs/>
          <w:color w:val="231F20"/>
          <w:spacing w:val="-16"/>
        </w:rPr>
        <w:t>【课程导入】</w:t>
      </w:r>
      <w:r>
        <w:rPr>
          <w:color w:val="231F20"/>
          <w:spacing w:val="-16"/>
        </w:rPr>
        <w:t xml:space="preserve"> </w:t>
      </w:r>
      <w:r>
        <w:rPr>
          <w:position w:val="-3"/>
        </w:rPr>
        <w:drawing>
          <wp:inline distT="0" distB="0" distL="0" distR="0">
            <wp:extent cx="378891" cy="132448"/>
            <wp:effectExtent l="0" t="0" r="0" b="0"/>
            <wp:docPr id="14" name="IM 14"/>
            <wp:cNvGraphicFramePr/>
            <a:graphic>
              <a:graphicData uri="http://schemas.openxmlformats.org/drawingml/2006/picture">
                <pic:pic>
                  <pic:nvPicPr>
                    <pic:cNvPr id="14" name="IM 14"/>
                    <pic:cNvPicPr/>
                  </pic:nvPicPr>
                  <pic:blipFill>
                    <a:blip r:embed="rId8"/>
                    <a:stretch>
                      <a:fillRect/>
                    </a:stretch>
                  </pic:blipFill>
                  <pic:spPr>
                    <a:xfrm rot="0">
                      <a:off x="0" y="0"/>
                      <a:ext cx="378891" cy="132448"/>
                    </a:xfrm>
                    <a:prstGeom prst="rect">
                      <a:avLst/>
                    </a:prstGeom>
                  </pic:spPr>
                </pic:pic>
              </a:graphicData>
            </a:graphic>
          </wp:inline>
        </w:drawing>
      </w:r>
    </w:p>
    <w:p>
      <w:pPr>
        <w:pStyle w:val="BodyText"/>
        <w:ind w:left="1140" w:right="1133" w:firstLine="327"/>
        <w:spacing w:before="61" w:line="272" w:lineRule="auto"/>
        <w:jc w:val="both"/>
        <w:rPr/>
      </w:pPr>
      <w:r>
        <w:rPr>
          <w:color w:val="231F20"/>
        </w:rPr>
        <w:t>（</w:t>
      </w:r>
      <w:r>
        <w:rPr>
          <w:rFonts w:ascii="Times New Roman" w:hAnsi="Times New Roman" w:eastAsia="Times New Roman" w:cs="Times New Roman"/>
          <w:color w:val="231F20"/>
        </w:rPr>
        <w:t>1</w:t>
      </w:r>
      <w:r>
        <w:rPr>
          <w:color w:val="231F20"/>
        </w:rPr>
        <w:t>）</w:t>
      </w:r>
      <w:r>
        <w:rPr>
          <w:rFonts w:ascii="Times New Roman" w:hAnsi="Times New Roman" w:eastAsia="Times New Roman" w:cs="Times New Roman"/>
          <w:color w:val="231F20"/>
        </w:rPr>
        <w:t>NASA</w:t>
      </w:r>
      <w:r>
        <w:rPr>
          <w:color w:val="231F20"/>
        </w:rPr>
        <w:t>（</w:t>
      </w:r>
      <w:r>
        <w:rPr>
          <w:rFonts w:ascii="Times New Roman" w:hAnsi="Times New Roman" w:eastAsia="Times New Roman" w:cs="Times New Roman"/>
          <w:color w:val="231F20"/>
        </w:rPr>
        <w:t>National Aeronautics</w:t>
      </w:r>
      <w:r>
        <w:rPr>
          <w:rFonts w:ascii="Times New Roman" w:hAnsi="Times New Roman" w:eastAsia="Times New Roman" w:cs="Times New Roman"/>
          <w:color w:val="231F20"/>
          <w:spacing w:val="25"/>
          <w:w w:val="101"/>
        </w:rPr>
        <w:t xml:space="preserve"> </w:t>
      </w:r>
      <w:r>
        <w:rPr>
          <w:rFonts w:ascii="Times New Roman" w:hAnsi="Times New Roman" w:eastAsia="Times New Roman" w:cs="Times New Roman"/>
          <w:color w:val="231F20"/>
        </w:rPr>
        <w:t>and</w:t>
      </w:r>
      <w:r>
        <w:rPr>
          <w:rFonts w:ascii="Times New Roman" w:hAnsi="Times New Roman" w:eastAsia="Times New Roman" w:cs="Times New Roman"/>
          <w:color w:val="231F20"/>
          <w:spacing w:val="30"/>
        </w:rPr>
        <w:t xml:space="preserve"> </w:t>
      </w:r>
      <w:r>
        <w:rPr>
          <w:rFonts w:ascii="Times New Roman" w:hAnsi="Times New Roman" w:eastAsia="Times New Roman" w:cs="Times New Roman"/>
          <w:color w:val="231F20"/>
        </w:rPr>
        <w:t>Space Admin</w:t>
      </w:r>
      <w:r>
        <w:rPr>
          <w:rFonts w:ascii="Times New Roman" w:hAnsi="Times New Roman" w:eastAsia="Times New Roman" w:cs="Times New Roman"/>
          <w:color w:val="231F20"/>
          <w:spacing w:val="-1"/>
        </w:rPr>
        <w:t>istration</w:t>
      </w:r>
      <w:r>
        <w:rPr>
          <w:color w:val="231F20"/>
          <w:spacing w:val="-1"/>
        </w:rPr>
        <w:t>，美国国家航空航天局）如</w:t>
      </w:r>
      <w:r>
        <w:rPr>
          <w:color w:val="231F20"/>
        </w:rPr>
        <w:t xml:space="preserve"> </w:t>
      </w:r>
      <w:r>
        <w:rPr>
          <w:color w:val="231F20"/>
        </w:rPr>
        <w:t>何能提前预知各种天文奇观？创业者如何确定自己的产品定价与服务对象？在未来的城镇</w:t>
      </w:r>
      <w:r>
        <w:rPr>
          <w:color w:val="231F20"/>
          <w:spacing w:val="14"/>
        </w:rPr>
        <w:t xml:space="preserve"> </w:t>
      </w:r>
      <w:r>
        <w:rPr>
          <w:color w:val="231F20"/>
          <w:spacing w:val="6"/>
        </w:rPr>
        <w:t>化建设过程中如何打造智能城市？这一系列问题的背后，其实都隐藏着数据的身影—不</w:t>
      </w:r>
      <w:r>
        <w:rPr>
          <w:color w:val="231F20"/>
          <w:spacing w:val="4"/>
        </w:rPr>
        <w:t xml:space="preserve"> </w:t>
      </w:r>
      <w:r>
        <w:rPr>
          <w:color w:val="231F20"/>
        </w:rPr>
        <w:t>仅彰显着数据的巨大价值，更直观地体现出数据在各个行业的广阔应用。那么数据在我们</w:t>
      </w:r>
      <w:r>
        <w:rPr>
          <w:color w:val="231F20"/>
          <w:spacing w:val="7"/>
        </w:rPr>
        <w:t xml:space="preserve"> </w:t>
      </w:r>
      <w:r>
        <w:rPr>
          <w:color w:val="231F20"/>
          <w:spacing w:val="-7"/>
        </w:rPr>
        <w:t>的日常生活中都以怎样的形式出现？</w:t>
      </w:r>
    </w:p>
    <w:p>
      <w:pPr>
        <w:pStyle w:val="BodyText"/>
        <w:ind w:left="1141" w:right="1142" w:firstLine="326"/>
        <w:spacing w:before="74" w:line="263" w:lineRule="auto"/>
        <w:jc w:val="both"/>
        <w:rPr/>
      </w:pPr>
      <w:r>
        <w:rPr>
          <w:color w:val="231F20"/>
        </w:rPr>
        <w:t>（</w:t>
      </w:r>
      <w:r>
        <w:rPr>
          <w:rFonts w:ascii="Times New Roman" w:hAnsi="Times New Roman" w:eastAsia="Times New Roman" w:cs="Times New Roman"/>
          <w:color w:val="231F20"/>
        </w:rPr>
        <w:t>2</w:t>
      </w:r>
      <w:r>
        <w:rPr>
          <w:color w:val="231F20"/>
        </w:rPr>
        <w:t>）数据在生活中无处不在。过去，人们习惯把数字的组合称为数据，但在今天，这</w:t>
      </w:r>
      <w:r>
        <w:rPr>
          <w:color w:val="231F20"/>
          <w:spacing w:val="2"/>
        </w:rPr>
        <w:t xml:space="preserve"> </w:t>
      </w:r>
      <w:r>
        <w:rPr>
          <w:color w:val="231F20"/>
        </w:rPr>
        <w:t>样的理解显然不够全面。是否可以把数字、字母、符号等的集合称为数据？似乎信息与知</w:t>
      </w:r>
      <w:r>
        <w:rPr>
          <w:color w:val="231F20"/>
          <w:spacing w:val="3"/>
        </w:rPr>
        <w:t xml:space="preserve"> </w:t>
      </w:r>
      <w:r>
        <w:rPr>
          <w:color w:val="231F20"/>
          <w:spacing w:val="-4"/>
        </w:rPr>
        <w:t>识也是由这些元素组成的，那么数据、信息、知识之间存在怎样的关系？</w:t>
      </w:r>
    </w:p>
    <w:p>
      <w:pPr>
        <w:pStyle w:val="BodyText"/>
        <w:ind w:left="1142" w:right="1131" w:firstLine="325"/>
        <w:spacing w:before="72" w:line="264" w:lineRule="auto"/>
        <w:jc w:val="both"/>
        <w:rPr/>
      </w:pPr>
      <w:r>
        <w:rPr>
          <w:color w:val="231F20"/>
        </w:rPr>
        <w:t>（</w:t>
      </w:r>
      <w:r>
        <w:rPr>
          <w:rFonts w:ascii="Times New Roman" w:hAnsi="Times New Roman" w:eastAsia="Times New Roman" w:cs="Times New Roman"/>
          <w:color w:val="231F20"/>
        </w:rPr>
        <w:t>3</w:t>
      </w:r>
      <w:r>
        <w:rPr>
          <w:color w:val="231F20"/>
        </w:rPr>
        <w:t>）“啤酒与尿布”的故事源于在</w:t>
      </w:r>
      <w:r>
        <w:rPr>
          <w:color w:val="231F20"/>
          <w:spacing w:val="-47"/>
        </w:rPr>
        <w:t xml:space="preserve"> </w:t>
      </w:r>
      <w:r>
        <w:rPr>
          <w:rFonts w:ascii="Times New Roman" w:hAnsi="Times New Roman" w:eastAsia="Times New Roman" w:cs="Times New Roman"/>
          <w:color w:val="231F20"/>
        </w:rPr>
        <w:t>20 </w:t>
      </w:r>
      <w:r>
        <w:rPr>
          <w:color w:val="231F20"/>
        </w:rPr>
        <w:t>世纪</w:t>
      </w:r>
      <w:r>
        <w:rPr>
          <w:color w:val="231F20"/>
          <w:spacing w:val="-44"/>
        </w:rPr>
        <w:t xml:space="preserve"> </w:t>
      </w:r>
      <w:r>
        <w:rPr>
          <w:rFonts w:ascii="Times New Roman" w:hAnsi="Times New Roman" w:eastAsia="Times New Roman" w:cs="Times New Roman"/>
          <w:color w:val="231F20"/>
        </w:rPr>
        <w:t>90 </w:t>
      </w:r>
      <w:r>
        <w:rPr>
          <w:color w:val="231F20"/>
        </w:rPr>
        <w:t>年代的</w:t>
      </w:r>
      <w:r>
        <w:rPr>
          <w:color w:val="231F20"/>
          <w:spacing w:val="-1"/>
        </w:rPr>
        <w:t>美国超市中，这两件看似毫无关</w:t>
      </w:r>
      <w:r>
        <w:rPr>
          <w:color w:val="231F20"/>
        </w:rPr>
        <w:t xml:space="preserve"> </w:t>
      </w:r>
      <w:r>
        <w:rPr>
          <w:color w:val="231F20"/>
          <w:spacing w:val="6"/>
        </w:rPr>
        <w:t>联的商品会经常出现在同一个购物篮里。你认为“啤酒与尿布”蕴含了怎样的数据关联</w:t>
      </w:r>
      <w:r>
        <w:rPr>
          <w:color w:val="231F20"/>
          <w:spacing w:val="4"/>
        </w:rPr>
        <w:t xml:space="preserve"> </w:t>
      </w:r>
      <w:r>
        <w:rPr>
          <w:color w:val="231F20"/>
          <w:spacing w:val="-27"/>
        </w:rPr>
        <w:t>关系？</w:t>
      </w:r>
    </w:p>
    <w:p>
      <w:pPr>
        <w:pStyle w:val="BodyText"/>
        <w:ind w:left="1123"/>
        <w:spacing w:before="68" w:line="236" w:lineRule="auto"/>
        <w:rPr/>
      </w:pPr>
      <w:r>
        <w:rPr>
          <w:b/>
          <w:bCs/>
          <w:color w:val="231F20"/>
          <w:spacing w:val="-12"/>
        </w:rPr>
        <w:t>【教学重点及难点】</w:t>
      </w:r>
      <w:r>
        <w:rPr>
          <w:color w:val="231F20"/>
          <w:spacing w:val="-12"/>
        </w:rPr>
        <w:t xml:space="preserve"> </w:t>
      </w:r>
      <w:r>
        <w:rPr>
          <w:position w:val="-3"/>
        </w:rPr>
        <w:drawing>
          <wp:inline distT="0" distB="0" distL="0" distR="0">
            <wp:extent cx="378891" cy="132448"/>
            <wp:effectExtent l="0" t="0" r="0" b="0"/>
            <wp:docPr id="16" name="IM 16"/>
            <wp:cNvGraphicFramePr/>
            <a:graphic>
              <a:graphicData uri="http://schemas.openxmlformats.org/drawingml/2006/picture">
                <pic:pic>
                  <pic:nvPicPr>
                    <pic:cNvPr id="16" name="IM 16"/>
                    <pic:cNvPicPr/>
                  </pic:nvPicPr>
                  <pic:blipFill>
                    <a:blip r:embed="rId9"/>
                    <a:stretch>
                      <a:fillRect/>
                    </a:stretch>
                  </pic:blipFill>
                  <pic:spPr>
                    <a:xfrm rot="0">
                      <a:off x="0" y="0"/>
                      <a:ext cx="378891" cy="132448"/>
                    </a:xfrm>
                    <a:prstGeom prst="rect">
                      <a:avLst/>
                    </a:prstGeom>
                  </pic:spPr>
                </pic:pic>
              </a:graphicData>
            </a:graphic>
          </wp:inline>
        </w:drawing>
      </w:r>
    </w:p>
    <w:p>
      <w:pPr>
        <w:pStyle w:val="BodyText"/>
        <w:ind w:left="1155" w:right="1132" w:firstLine="412"/>
        <w:spacing w:before="62" w:line="263" w:lineRule="auto"/>
        <w:jc w:val="both"/>
        <w:rPr/>
      </w:pPr>
      <w:r>
        <w:rPr>
          <w:color w:val="231F20"/>
        </w:rPr>
        <w:t>重点：本章的学习重点在于数据治理的内涵与数据治理的发展。首先要理解数据治理</w:t>
      </w:r>
      <w:r>
        <w:rPr>
          <w:color w:val="231F20"/>
          <w:spacing w:val="16"/>
        </w:rPr>
        <w:t xml:space="preserve"> </w:t>
      </w:r>
      <w:r>
        <w:rPr>
          <w:color w:val="231F20"/>
        </w:rPr>
        <w:t>的概念，进而熟悉数据治理的相关内涵，对数据治理有整体的把握，为数据</w:t>
      </w:r>
      <w:r>
        <w:rPr>
          <w:color w:val="231F20"/>
          <w:spacing w:val="-1"/>
        </w:rPr>
        <w:t>治理体系的学</w:t>
      </w:r>
      <w:r>
        <w:rPr>
          <w:color w:val="231F20"/>
        </w:rPr>
        <w:t xml:space="preserve"> </w:t>
      </w:r>
      <w:r>
        <w:rPr>
          <w:color w:val="231F20"/>
          <w:spacing w:val="-8"/>
        </w:rPr>
        <w:t>习打好基础。</w:t>
      </w:r>
    </w:p>
    <w:p>
      <w:pPr>
        <w:pStyle w:val="BodyText"/>
        <w:ind w:left="1566"/>
        <w:spacing w:before="72" w:line="220" w:lineRule="auto"/>
        <w:rPr/>
      </w:pPr>
      <w:r>
        <w:rPr>
          <w:color w:val="231F20"/>
        </w:rPr>
        <w:t>难点：本章的学习难点在于对相似概念的辨析，如数据、信息与知识，数据治理与数</w:t>
      </w:r>
    </w:p>
    <w:p>
      <w:pPr>
        <w:spacing w:line="220" w:lineRule="auto"/>
        <w:sectPr>
          <w:footerReference w:type="default" r:id="rId1"/>
          <w:pgSz w:w="10489" w:h="14741"/>
          <w:pgMar w:top="1252" w:right="0" w:bottom="734" w:left="0" w:header="0" w:footer="552" w:gutter="0"/>
        </w:sectPr>
        <w:rPr/>
      </w:pPr>
    </w:p>
    <w:p>
      <w:pPr>
        <w:spacing w:before="78" w:line="215" w:lineRule="auto"/>
        <w:rPr>
          <w:rFonts w:ascii="Microsoft YaHei" w:hAnsi="Microsoft YaHei" w:eastAsia="Microsoft YaHei" w:cs="Microsoft YaHei"/>
          <w:sz w:val="18"/>
          <w:szCs w:val="18"/>
        </w:rPr>
      </w:pPr>
      <w:r>
        <w:drawing>
          <wp:anchor distT="0" distB="0" distL="0" distR="0" simplePos="0" relativeHeight="251667456" behindDoc="1" locked="0" layoutInCell="1" allowOverlap="1">
            <wp:simplePos x="0" y="0"/>
            <wp:positionH relativeFrom="column">
              <wp:posOffset>108299</wp:posOffset>
            </wp:positionH>
            <wp:positionV relativeFrom="paragraph">
              <wp:posOffset>79371</wp:posOffset>
            </wp:positionV>
            <wp:extent cx="83329" cy="46985"/>
            <wp:effectExtent l="0" t="0" r="0" b="0"/>
            <wp:wrapNone/>
            <wp:docPr id="18" name="IM 18"/>
            <wp:cNvGraphicFramePr/>
            <a:graphic>
              <a:graphicData uri="http://schemas.openxmlformats.org/drawingml/2006/picture">
                <pic:pic>
                  <pic:nvPicPr>
                    <pic:cNvPr id="18" name="IM 18"/>
                    <pic:cNvPicPr/>
                  </pic:nvPicPr>
                  <pic:blipFill>
                    <a:blip r:embed="rId11"/>
                    <a:stretch>
                      <a:fillRect/>
                    </a:stretch>
                  </pic:blipFill>
                  <pic:spPr>
                    <a:xfrm rot="0">
                      <a:off x="0" y="0"/>
                      <a:ext cx="83329" cy="46985"/>
                    </a:xfrm>
                    <a:prstGeom prst="rect">
                      <a:avLst/>
                    </a:prstGeom>
                  </pic:spPr>
                </pic:pic>
              </a:graphicData>
            </a:graphic>
          </wp:anchor>
        </w:drawing>
      </w:r>
      <w:r>
        <w:drawing>
          <wp:anchor distT="0" distB="0" distL="0" distR="0" simplePos="0" relativeHeight="251666432" behindDoc="1" locked="0" layoutInCell="1" allowOverlap="1">
            <wp:simplePos x="0" y="0"/>
            <wp:positionH relativeFrom="column">
              <wp:posOffset>38548</wp:posOffset>
            </wp:positionH>
            <wp:positionV relativeFrom="paragraph">
              <wp:posOffset>120488</wp:posOffset>
            </wp:positionV>
            <wp:extent cx="153080" cy="75618"/>
            <wp:effectExtent l="0" t="0" r="0" b="0"/>
            <wp:wrapNone/>
            <wp:docPr id="20" name="IM 20"/>
            <wp:cNvGraphicFramePr/>
            <a:graphic>
              <a:graphicData uri="http://schemas.openxmlformats.org/drawingml/2006/picture">
                <pic:pic>
                  <pic:nvPicPr>
                    <pic:cNvPr id="20" name="IM 20"/>
                    <pic:cNvPicPr/>
                  </pic:nvPicPr>
                  <pic:blipFill>
                    <a:blip r:embed="rId12"/>
                    <a:stretch>
                      <a:fillRect/>
                    </a:stretch>
                  </pic:blipFill>
                  <pic:spPr>
                    <a:xfrm rot="0">
                      <a:off x="0" y="0"/>
                      <a:ext cx="153080" cy="75618"/>
                    </a:xfrm>
                    <a:prstGeom prst="rect">
                      <a:avLst/>
                    </a:prstGeom>
                  </pic:spPr>
                </pic:pic>
              </a:graphicData>
            </a:graphic>
          </wp:anchor>
        </w:drawing>
      </w:r>
      <w:r>
        <w:rPr>
          <w:rFonts w:ascii="Microsoft YaHei" w:hAnsi="Microsoft YaHei" w:eastAsia="Microsoft YaHei" w:cs="Microsoft YaHei"/>
          <w:sz w:val="18"/>
          <w:szCs w:val="18"/>
          <w:color w:val="D9D9D9"/>
          <w:position w:val="-5"/>
        </w:rPr>
        <w:drawing>
          <wp:inline distT="0" distB="0" distL="0" distR="0">
            <wp:extent cx="369303" cy="250002"/>
            <wp:effectExtent l="0" t="0" r="0" b="0"/>
            <wp:docPr id="22" name="IM 22"/>
            <wp:cNvGraphicFramePr/>
            <a:graphic>
              <a:graphicData uri="http://schemas.openxmlformats.org/drawingml/2006/picture">
                <pic:pic>
                  <pic:nvPicPr>
                    <pic:cNvPr id="22" name="IM 22"/>
                    <pic:cNvPicPr/>
                  </pic:nvPicPr>
                  <pic:blipFill>
                    <a:blip r:embed="rId13"/>
                    <a:stretch>
                      <a:fillRect/>
                    </a:stretch>
                  </pic:blipFill>
                  <pic:spPr>
                    <a:xfrm rot="0">
                      <a:off x="0" y="0"/>
                      <a:ext cx="369303" cy="250002"/>
                    </a:xfrm>
                    <a:prstGeom prst="rect">
                      <a:avLst/>
                    </a:prstGeom>
                  </pic:spPr>
                </pic:pic>
              </a:graphicData>
            </a:graphic>
          </wp:inline>
        </w:drawing>
      </w:r>
      <w:r>
        <w:rPr>
          <w:rFonts w:ascii="Microsoft YaHei" w:hAnsi="Microsoft YaHei" w:eastAsia="Microsoft YaHei" w:cs="Microsoft YaHei"/>
          <w:sz w:val="18"/>
          <w:szCs w:val="18"/>
          <w:color w:val="D9D9D9"/>
          <w:spacing w:val="49"/>
        </w:rPr>
        <w:t xml:space="preserve"> </w:t>
      </w:r>
      <w:r>
        <w:rPr>
          <w:rFonts w:ascii="Microsoft YaHei" w:hAnsi="Microsoft YaHei" w:eastAsia="Microsoft YaHei" w:cs="Microsoft YaHei"/>
          <w:sz w:val="18"/>
          <w:szCs w:val="18"/>
          <w:color w:val="D9D9D9"/>
          <w:spacing w:val="2"/>
        </w:rPr>
        <w:t>数据治理</w:t>
      </w:r>
      <w:r>
        <w:rPr>
          <w:rFonts w:ascii="Microsoft YaHei" w:hAnsi="Microsoft YaHei" w:eastAsia="Microsoft YaHei" w:cs="Microsoft YaHei"/>
          <w:sz w:val="18"/>
          <w:szCs w:val="18"/>
          <w:color w:val="D9D9D9"/>
          <w:spacing w:val="48"/>
          <w:w w:val="101"/>
        </w:rPr>
        <w:t xml:space="preserve"> </w:t>
      </w:r>
      <w:r>
        <w:rPr>
          <w:rFonts w:ascii="Microsoft YaHei" w:hAnsi="Microsoft YaHei" w:eastAsia="Microsoft YaHei" w:cs="Microsoft YaHei"/>
          <w:sz w:val="18"/>
          <w:szCs w:val="18"/>
          <w:color w:val="4B4C4D"/>
          <w:spacing w:val="2"/>
        </w:rPr>
        <w:t>理论、方法与实践</w:t>
      </w:r>
    </w:p>
    <w:p>
      <w:pPr>
        <w:spacing w:line="334" w:lineRule="auto"/>
        <w:rPr>
          <w:rFonts w:ascii="Arial"/>
          <w:sz w:val="21"/>
        </w:rPr>
      </w:pPr>
      <w:r/>
    </w:p>
    <w:p>
      <w:pPr>
        <w:pStyle w:val="BodyText"/>
        <w:ind w:left="578" w:right="87" w:hanging="1"/>
        <w:spacing w:before="68" w:line="253" w:lineRule="auto"/>
        <w:rPr/>
      </w:pPr>
      <w:r>
        <w:rPr>
          <w:color w:val="231F20"/>
        </w:rPr>
        <w:t>据管理。数据治理的发展部分涉及政策内容，时空跨度较大，与时势联系紧密，也是需要</w:t>
      </w:r>
      <w:r>
        <w:rPr>
          <w:color w:val="231F20"/>
          <w:spacing w:val="9"/>
        </w:rPr>
        <w:t xml:space="preserve"> </w:t>
      </w:r>
      <w:r>
        <w:rPr>
          <w:color w:val="231F20"/>
          <w:spacing w:val="-4"/>
        </w:rPr>
        <w:t>重点理解掌握的内容。</w:t>
      </w:r>
    </w:p>
    <w:p>
      <w:pPr>
        <w:spacing w:line="274" w:lineRule="auto"/>
        <w:rPr>
          <w:rFonts w:ascii="Arial"/>
          <w:sz w:val="21"/>
        </w:rPr>
      </w:pPr>
      <w:r/>
    </w:p>
    <w:p>
      <w:pPr>
        <w:ind w:left="590"/>
        <w:spacing w:before="111" w:line="204" w:lineRule="auto"/>
        <w:rPr>
          <w:rFonts w:ascii="Microsoft YaHei" w:hAnsi="Microsoft YaHei" w:eastAsia="Microsoft YaHei" w:cs="Microsoft YaHei"/>
          <w:sz w:val="26"/>
          <w:szCs w:val="26"/>
        </w:rPr>
      </w:pPr>
      <w:r>
        <w:rPr>
          <w:rFonts w:ascii="Arial" w:hAnsi="Arial" w:eastAsia="Arial" w:cs="Arial"/>
          <w:sz w:val="26"/>
          <w:szCs w:val="26"/>
          <w:b/>
          <w:bCs/>
          <w:color w:val="231F20"/>
          <w:spacing w:val="-4"/>
        </w:rPr>
        <w:t>1.1</w:t>
      </w:r>
      <w:r>
        <w:rPr>
          <w:rFonts w:ascii="Arial" w:hAnsi="Arial" w:eastAsia="Arial" w:cs="Arial"/>
          <w:sz w:val="26"/>
          <w:szCs w:val="26"/>
          <w:b/>
          <w:bCs/>
          <w:color w:val="231F20"/>
          <w:spacing w:val="18"/>
        </w:rPr>
        <w:t xml:space="preserve">   </w:t>
      </w:r>
      <w:r>
        <w:rPr>
          <w:rFonts w:ascii="Microsoft YaHei" w:hAnsi="Microsoft YaHei" w:eastAsia="Microsoft YaHei" w:cs="Microsoft YaHei"/>
          <w:sz w:val="26"/>
          <w:szCs w:val="26"/>
          <w:color w:val="231F20"/>
          <w:spacing w:val="-4"/>
        </w:rPr>
        <w:t>数据的价值</w:t>
      </w:r>
    </w:p>
    <w:p>
      <w:pPr>
        <w:pStyle w:val="BodyText"/>
        <w:ind w:left="577" w:right="79" w:firstLine="438"/>
        <w:spacing w:before="275" w:line="274" w:lineRule="auto"/>
        <w:jc w:val="both"/>
        <w:rPr/>
      </w:pPr>
      <w:r>
        <w:rPr>
          <w:color w:val="231F20"/>
          <w:spacing w:val="-6"/>
        </w:rPr>
        <w:t>当前信息化、大数据、数字经济等高频词语已成为世界各国推动经济社会可持续发展的</w:t>
      </w:r>
      <w:r>
        <w:rPr>
          <w:color w:val="231F20"/>
          <w:spacing w:val="3"/>
        </w:rPr>
        <w:t xml:space="preserve"> </w:t>
      </w:r>
      <w:r>
        <w:rPr>
          <w:color w:val="231F20"/>
          <w:spacing w:val="-11"/>
        </w:rPr>
        <w:t>着力点和竞争点。《经济学人》杂志曾将数据比喻为“</w:t>
      </w:r>
      <w:r>
        <w:rPr>
          <w:rFonts w:ascii="Times New Roman" w:hAnsi="Times New Roman" w:eastAsia="Times New Roman" w:cs="Times New Roman"/>
          <w:color w:val="231F20"/>
          <w:spacing w:val="-11"/>
        </w:rPr>
        <w:t>21 </w:t>
      </w:r>
      <w:r>
        <w:rPr>
          <w:color w:val="231F20"/>
          <w:spacing w:val="-11"/>
        </w:rPr>
        <w:t>世纪的石油”，数据的重要性不言而</w:t>
      </w:r>
      <w:r>
        <w:rPr>
          <w:color w:val="231F20"/>
          <w:spacing w:val="10"/>
        </w:rPr>
        <w:t xml:space="preserve"> </w:t>
      </w:r>
      <w:r>
        <w:rPr>
          <w:color w:val="231F20"/>
          <w:spacing w:val="-5"/>
        </w:rPr>
        <w:t>喻。本节主要介绍数据的价值，包含数据的相关概念以及数据创造价值的维度。数据是通过</w:t>
      </w:r>
      <w:r>
        <w:rPr>
          <w:color w:val="231F20"/>
          <w:spacing w:val="5"/>
        </w:rPr>
        <w:t xml:space="preserve"> </w:t>
      </w:r>
      <w:r>
        <w:rPr>
          <w:color w:val="231F20"/>
        </w:rPr>
        <w:t>观测得到的数字性的特征或信息。随着社会的不断发展进步，数据已经成为重要的生产要</w:t>
      </w:r>
      <w:r>
        <w:rPr>
          <w:color w:val="231F20"/>
          <w:spacing w:val="9"/>
        </w:rPr>
        <w:t xml:space="preserve"> </w:t>
      </w:r>
      <w:r>
        <w:rPr>
          <w:color w:val="231F20"/>
        </w:rPr>
        <w:t>素，世界各国都将其作为国家战略不可或缺的组成部分，数据的价值不容忽视。本节通过</w:t>
      </w:r>
      <w:r>
        <w:rPr>
          <w:color w:val="231F20"/>
          <w:spacing w:val="14"/>
        </w:rPr>
        <w:t xml:space="preserve"> </w:t>
      </w:r>
      <w:r>
        <w:rPr>
          <w:color w:val="231F20"/>
          <w:spacing w:val="-5"/>
        </w:rPr>
        <w:t>介绍数据对于个人、企业与国家</w:t>
      </w:r>
      <w:r>
        <w:rPr>
          <w:color w:val="231F20"/>
          <w:spacing w:val="-46"/>
        </w:rPr>
        <w:t xml:space="preserve"> </w:t>
      </w:r>
      <w:r>
        <w:rPr>
          <w:rFonts w:ascii="Times New Roman" w:hAnsi="Times New Roman" w:eastAsia="Times New Roman" w:cs="Times New Roman"/>
          <w:color w:val="231F20"/>
          <w:spacing w:val="-5"/>
        </w:rPr>
        <w:t>3 </w:t>
      </w:r>
      <w:r>
        <w:rPr>
          <w:color w:val="231F20"/>
          <w:spacing w:val="-5"/>
        </w:rPr>
        <w:t>个层面的价值以帮助读者更好地理解数据的重要意义。</w:t>
      </w:r>
    </w:p>
    <w:p>
      <w:pPr>
        <w:ind w:left="594"/>
        <w:spacing w:before="229" w:line="192" w:lineRule="auto"/>
        <w:rPr>
          <w:sz w:val="23"/>
          <w:szCs w:val="23"/>
        </w:rPr>
      </w:pPr>
      <w:r>
        <w:rPr>
          <w:rFonts w:ascii="Arial" w:hAnsi="Arial" w:eastAsia="Arial" w:cs="Arial"/>
          <w:sz w:val="23"/>
          <w:szCs w:val="23"/>
          <w:u w:val="single" w:color="76787B"/>
          <w:color w:val="231F20"/>
          <w:spacing w:val="-2"/>
        </w:rPr>
        <w:t>1.1.1</w:t>
      </w:r>
      <w:r>
        <w:rPr>
          <w:rFonts w:ascii="Arial" w:hAnsi="Arial" w:eastAsia="Arial" w:cs="Arial"/>
          <w:sz w:val="23"/>
          <w:szCs w:val="23"/>
          <w:u w:val="single" w:color="76787B"/>
          <w:color w:val="231F20"/>
          <w:spacing w:val="18"/>
        </w:rPr>
        <w:t xml:space="preserve">   </w:t>
      </w:r>
      <w:r>
        <w:rPr>
          <w:rFonts w:ascii="Microsoft YaHei" w:hAnsi="Microsoft YaHei" w:eastAsia="Microsoft YaHei" w:cs="Microsoft YaHei"/>
          <w:sz w:val="23"/>
          <w:szCs w:val="23"/>
          <w:u w:val="single" w:color="76787B"/>
          <w:color w:val="231F20"/>
          <w:spacing w:val="-2"/>
        </w:rPr>
        <w:t>数据相关概念辨析 </w:t>
      </w:r>
      <w:r>
        <w:rPr>
          <w:sz w:val="23"/>
          <w:szCs w:val="23"/>
          <w:position w:val="-9"/>
        </w:rPr>
        <w:drawing>
          <wp:inline distT="0" distB="0" distL="0" distR="0">
            <wp:extent cx="10795" cy="187197"/>
            <wp:effectExtent l="0" t="0" r="0" b="0"/>
            <wp:docPr id="24" name="IM 24"/>
            <wp:cNvGraphicFramePr/>
            <a:graphic>
              <a:graphicData uri="http://schemas.openxmlformats.org/drawingml/2006/picture">
                <pic:pic>
                  <pic:nvPicPr>
                    <pic:cNvPr id="24" name="IM 24"/>
                    <pic:cNvPicPr/>
                  </pic:nvPicPr>
                  <pic:blipFill>
                    <a:blip r:embed="rId14"/>
                    <a:stretch>
                      <a:fillRect/>
                    </a:stretch>
                  </pic:blipFill>
                  <pic:spPr>
                    <a:xfrm rot="0">
                      <a:off x="0" y="0"/>
                      <a:ext cx="10795" cy="187197"/>
                    </a:xfrm>
                    <a:prstGeom prst="rect">
                      <a:avLst/>
                    </a:prstGeom>
                  </pic:spPr>
                </pic:pic>
              </a:graphicData>
            </a:graphic>
          </wp:inline>
        </w:drawing>
      </w:r>
    </w:p>
    <w:p>
      <w:pPr>
        <w:pStyle w:val="BodyText"/>
        <w:ind w:left="1019"/>
        <w:spacing w:before="178" w:line="220" w:lineRule="auto"/>
        <w:rPr/>
      </w:pPr>
      <w:r>
        <w:rPr>
          <w:rFonts w:ascii="Times New Roman" w:hAnsi="Times New Roman" w:eastAsia="Times New Roman" w:cs="Times New Roman"/>
          <w:color w:val="231F20"/>
          <w:spacing w:val="-5"/>
        </w:rPr>
        <w:t>1.</w:t>
      </w:r>
      <w:r>
        <w:rPr>
          <w:rFonts w:ascii="Times New Roman" w:hAnsi="Times New Roman" w:eastAsia="Times New Roman" w:cs="Times New Roman"/>
          <w:color w:val="231F20"/>
          <w:spacing w:val="9"/>
        </w:rPr>
        <w:t xml:space="preserve"> </w:t>
      </w:r>
      <w:r>
        <w:rPr>
          <w:color w:val="231F20"/>
          <w:spacing w:val="-5"/>
        </w:rPr>
        <w:t>数据的概念</w:t>
      </w:r>
    </w:p>
    <w:p>
      <w:pPr>
        <w:pStyle w:val="BodyText"/>
        <w:ind w:left="478" w:firstLine="524"/>
        <w:spacing w:before="80" w:line="279" w:lineRule="auto"/>
        <w:rPr/>
      </w:pPr>
      <w:r>
        <w:rPr>
          <w:color w:val="231F20"/>
        </w:rPr>
        <w:t>根据最新版的《牛津英语词典》，数据是“被用于形成决策或者发现新知的事实或信 </w:t>
      </w:r>
      <w:r>
        <w:rPr>
          <w:color w:val="231F20"/>
          <w:spacing w:val="3"/>
        </w:rPr>
        <w:t>息”。根据国际标准化组织（</w:t>
      </w:r>
      <w:r>
        <w:rPr>
          <w:rFonts w:ascii="Times New Roman" w:hAnsi="Times New Roman" w:eastAsia="Times New Roman" w:cs="Times New Roman"/>
          <w:color w:val="231F20"/>
        </w:rPr>
        <w:t>International</w:t>
      </w:r>
      <w:r>
        <w:rPr>
          <w:rFonts w:ascii="Times New Roman" w:hAnsi="Times New Roman" w:eastAsia="Times New Roman" w:cs="Times New Roman"/>
          <w:color w:val="231F20"/>
          <w:spacing w:val="33"/>
        </w:rPr>
        <w:t xml:space="preserve"> </w:t>
      </w:r>
      <w:r>
        <w:rPr>
          <w:rFonts w:ascii="Times New Roman" w:hAnsi="Times New Roman" w:eastAsia="Times New Roman" w:cs="Times New Roman"/>
          <w:color w:val="231F20"/>
        </w:rPr>
        <w:t>Organization</w:t>
      </w:r>
      <w:r>
        <w:rPr>
          <w:rFonts w:ascii="Times New Roman" w:hAnsi="Times New Roman" w:eastAsia="Times New Roman" w:cs="Times New Roman"/>
          <w:color w:val="231F20"/>
          <w:spacing w:val="25"/>
        </w:rPr>
        <w:t xml:space="preserve"> </w:t>
      </w:r>
      <w:r>
        <w:rPr>
          <w:rFonts w:ascii="Times New Roman" w:hAnsi="Times New Roman" w:eastAsia="Times New Roman" w:cs="Times New Roman"/>
          <w:color w:val="231F20"/>
        </w:rPr>
        <w:t>for</w:t>
      </w:r>
      <w:r>
        <w:rPr>
          <w:rFonts w:ascii="Times New Roman" w:hAnsi="Times New Roman" w:eastAsia="Times New Roman" w:cs="Times New Roman"/>
          <w:color w:val="231F20"/>
          <w:spacing w:val="29"/>
          <w:w w:val="101"/>
        </w:rPr>
        <w:t xml:space="preserve"> </w:t>
      </w:r>
      <w:r>
        <w:rPr>
          <w:rFonts w:ascii="Times New Roman" w:hAnsi="Times New Roman" w:eastAsia="Times New Roman" w:cs="Times New Roman"/>
          <w:color w:val="231F20"/>
        </w:rPr>
        <w:t>Standardization</w:t>
      </w:r>
      <w:r>
        <w:rPr>
          <w:rFonts w:ascii="Times New Roman" w:hAnsi="Times New Roman" w:eastAsia="Times New Roman" w:cs="Times New Roman"/>
          <w:color w:val="231F20"/>
          <w:spacing w:val="-30"/>
        </w:rPr>
        <w:t xml:space="preserve"> </w:t>
      </w:r>
      <w:r>
        <w:rPr>
          <w:color w:val="231F20"/>
          <w:spacing w:val="3"/>
        </w:rPr>
        <w:t>，</w:t>
      </w:r>
      <w:r>
        <w:rPr>
          <w:rFonts w:ascii="Times New Roman" w:hAnsi="Times New Roman" w:eastAsia="Times New Roman" w:cs="Times New Roman"/>
          <w:color w:val="231F20"/>
        </w:rPr>
        <w:t>ISO</w:t>
      </w:r>
      <w:r>
        <w:rPr>
          <w:color w:val="231F20"/>
          <w:spacing w:val="3"/>
        </w:rPr>
        <w:t>）的定义，</w:t>
      </w:r>
      <w:r>
        <w:rPr>
          <w:color w:val="231F20"/>
        </w:rPr>
        <w:t xml:space="preserve"> </w:t>
      </w:r>
      <w:r>
        <w:rPr>
          <w:color w:val="231F20"/>
          <w:spacing w:val="2"/>
        </w:rPr>
        <w:t>数据是对事实、概念或指令的一种特殊表达方式，用数据形式表现的信息能够更好地被用</w:t>
      </w:r>
      <w:r>
        <w:rPr>
          <w:color w:val="231F20"/>
          <w:spacing w:val="8"/>
        </w:rPr>
        <w:t xml:space="preserve">  </w:t>
      </w:r>
      <w:r>
        <w:rPr>
          <w:color w:val="231F20"/>
          <w:spacing w:val="-3"/>
        </w:rPr>
        <w:t>于交流、解释或处理。在《现代汉语词典》（第</w:t>
      </w:r>
      <w:r>
        <w:rPr>
          <w:color w:val="231F20"/>
          <w:spacing w:val="-27"/>
        </w:rPr>
        <w:t xml:space="preserve"> </w:t>
      </w:r>
      <w:r>
        <w:rPr>
          <w:rFonts w:ascii="Times New Roman" w:hAnsi="Times New Roman" w:eastAsia="Times New Roman" w:cs="Times New Roman"/>
          <w:color w:val="231F20"/>
          <w:spacing w:val="-3"/>
        </w:rPr>
        <w:t>7 </w:t>
      </w:r>
      <w:r>
        <w:rPr>
          <w:color w:val="231F20"/>
          <w:spacing w:val="-3"/>
        </w:rPr>
        <w:t>版）中，对于数据的解释是：“进行各种 </w:t>
      </w:r>
      <w:r>
        <w:rPr>
          <w:color w:val="231F20"/>
          <w:spacing w:val="3"/>
        </w:rPr>
        <w:t>统计、计算、科学研究或技术设计等所依据的数值。”数据是人类通</w:t>
      </w:r>
      <w:r>
        <w:rPr>
          <w:color w:val="231F20"/>
          <w:spacing w:val="2"/>
        </w:rPr>
        <w:t>过观察自然、科学计 </w:t>
      </w:r>
      <w:r>
        <w:rPr>
          <w:color w:val="231F20"/>
          <w:spacing w:val="3"/>
        </w:rPr>
        <w:t>算或社会实践等多种方式得出的一种记录，是对人类社会的一种描</w:t>
      </w:r>
      <w:r>
        <w:rPr>
          <w:color w:val="231F20"/>
          <w:spacing w:val="2"/>
        </w:rPr>
        <w:t>述、记录和表达。数据</w:t>
      </w:r>
      <w:r>
        <w:rPr>
          <w:color w:val="231F20"/>
        </w:rPr>
        <w:t xml:space="preserve">  </w:t>
      </w:r>
      <w:r>
        <w:rPr>
          <w:color w:val="231F20"/>
          <w:spacing w:val="8"/>
        </w:rPr>
        <w:t>有许多形式的载体，最简单的一类就是数字，也可以是符号、文字、图像、声音、视频 </w:t>
      </w:r>
      <w:r>
        <w:rPr>
          <w:color w:val="231F20"/>
          <w:spacing w:val="3"/>
        </w:rPr>
        <w:t>等。通常，在学术研究论著中，数据只是作为“信息的单元”。在数</w:t>
      </w:r>
      <w:r>
        <w:rPr>
          <w:color w:val="231F20"/>
          <w:spacing w:val="2"/>
        </w:rPr>
        <w:t>字经济时代，数据被 </w:t>
      </w:r>
      <w:r>
        <w:rPr>
          <w:color w:val="231F20"/>
          <w:spacing w:val="3"/>
        </w:rPr>
        <w:t>纳为新型生产要素，是人类社会发展进步的基础。数据成为反映环境</w:t>
      </w:r>
      <w:r>
        <w:rPr>
          <w:color w:val="231F20"/>
          <w:spacing w:val="2"/>
        </w:rPr>
        <w:t>、优化体系、驱动发 </w:t>
      </w:r>
      <w:r>
        <w:rPr>
          <w:color w:val="231F20"/>
          <w:spacing w:val="5"/>
        </w:rPr>
        <w:t>展的重要元素。在科学研究、商业管理（比如涉及销售、收入、利润、股价等）、金融、</w:t>
      </w:r>
      <w:r>
        <w:rPr>
          <w:color w:val="231F20"/>
        </w:rPr>
        <w:t xml:space="preserve"> </w:t>
      </w:r>
      <w:r>
        <w:rPr>
          <w:color w:val="231F20"/>
          <w:spacing w:val="8"/>
        </w:rPr>
        <w:t>政治（比如涉及犯罪率、失业率、识字率等）和事实上的其他一切人类组织性活动形式 </w:t>
      </w:r>
      <w:r>
        <w:rPr>
          <w:color w:val="231F20"/>
          <w:spacing w:val="-2"/>
        </w:rPr>
        <w:t>（比如非营利性组织所做的流浪人口调查等）中，数据无处不在。</w:t>
      </w:r>
    </w:p>
    <w:p>
      <w:pPr>
        <w:pStyle w:val="BodyText"/>
        <w:ind w:left="999"/>
        <w:spacing w:before="73" w:line="220" w:lineRule="auto"/>
        <w:rPr/>
      </w:pPr>
      <w:r>
        <w:pict>
          <v:shape id="_x0000_s20" style="position:absolute;margin-left:92.0732pt;margin-top:3.96751pt;mso-position-vertical-relative:text;mso-position-horizontal-relative:text;width:9.9pt;height:9.9pt;z-index:-251648000;" filled="false" strokecolor="#231F20" strokeweight="0.17pt" coordsize="197,197" coordorigin="0,0" path="m104,61l82,61l82,27l104,27l104,61xm104,99l82,99l82,66l104,66l104,99xm82,104l104,104l104,109l114,104c113,89,113,64,113,30l120,26l109,15l103,22l82,22l71,16c71,35,72,49,72,60l72,143c72,150,71,155,69,159l77,169c85,160,94,149,107,138c109,143,110,147,112,150c113,154,115,154,119,148c122,143,121,137,116,132c112,127,104,121,93,114l92,116c99,125,104,131,105,135l82,150l82,104xm193,96l179,82l170,91l159,91c160,79,161,57,163,27l192,27l178,13l170,22l124,22l131,28l138,27l152,27c151,57,150,79,148,91l131,91c135,74,137,63,138,57c139,52,141,49,144,48l132,41c129,57,127,69,125,77c123,84,120,89,117,91l126,100l132,96l147,96c138,140,115,173,79,193l80,196c117,180,141,153,153,114l153,174c153,183,157,187,164,187l178,187c182,187,185,187,188,185c191,183,193,181,195,177c192,175,190,172,189,167c187,162,187,155,187,147l182,147c182,155,182,163,182,169c182,175,179,178,174,178l169,178c165,178,163,176,163,171l163,119l169,114l155,106l158,96l193,96xm44,81c50,87,55,95,59,103c62,110,65,111,68,105c70,98,70,93,66,89c61,84,54,80,44,76l44,57l69,57l56,44l48,52l44,52l44,15l50,10l33,1c34,20,34,37,34,52l4,52l11,59l18,57l33,57c30,76,26,92,20,107c15,121,8,135,1,147l3,150c17,133,27,115,34,96c34,129,34,163,33,195l45,189c44,170,44,157,44,149l44,81xe">
            <v:stroke joinstyle="miter" miterlimit="4"/>
          </v:shape>
        </w:pict>
      </w:r>
      <w:r>
        <w:rPr>
          <w:rFonts w:ascii="Times New Roman" w:hAnsi="Times New Roman" w:eastAsia="Times New Roman" w:cs="Times New Roman"/>
          <w:color w:val="231F20"/>
          <w:spacing w:val="-1"/>
        </w:rPr>
        <w:t>2. </w:t>
      </w:r>
      <w:r>
        <w:rPr>
          <w:color w:val="231F20"/>
          <w:spacing w:val="-1"/>
        </w:rPr>
        <w:t>信息的概念</w:t>
      </w:r>
    </w:p>
    <w:p>
      <w:pPr>
        <w:pStyle w:val="BodyText"/>
        <w:ind w:left="577" w:right="2" w:firstLine="425"/>
        <w:spacing w:before="72" w:line="269" w:lineRule="auto"/>
        <w:rPr/>
      </w:pPr>
      <w:r>
        <w:rPr>
          <w:color w:val="231F20"/>
          <w:spacing w:val="2"/>
        </w:rPr>
        <w:t>信息是物质存在的一种方式、形态或状态，也是事物的一种普遍属性，一般指数据、</w:t>
      </w:r>
      <w:r>
        <w:rPr>
          <w:color w:val="231F20"/>
          <w:spacing w:val="14"/>
        </w:rPr>
        <w:t xml:space="preserve"> </w:t>
      </w:r>
      <w:r>
        <w:rPr>
          <w:color w:val="231F20"/>
          <w:spacing w:val="6"/>
        </w:rPr>
        <w:t>消息中所包含的意义，可以使消息所描述事件的不定</w:t>
      </w:r>
      <w:r>
        <w:rPr>
          <w:color w:val="231F20"/>
          <w:spacing w:val="5"/>
        </w:rPr>
        <w:t>性减少。美国数学家、信息论的奠 </w:t>
      </w:r>
      <w:r>
        <w:rPr>
          <w:color w:val="231F20"/>
          <w:spacing w:val="-1"/>
        </w:rPr>
        <w:t>基人克劳德·艾尔伍德·香农（</w:t>
      </w:r>
      <w:r>
        <w:rPr>
          <w:rFonts w:ascii="Times New Roman" w:hAnsi="Times New Roman" w:eastAsia="Times New Roman" w:cs="Times New Roman"/>
          <w:color w:val="231F20"/>
          <w:spacing w:val="-1"/>
        </w:rPr>
        <w:t>Claude</w:t>
      </w:r>
      <w:r>
        <w:rPr>
          <w:rFonts w:ascii="Times New Roman" w:hAnsi="Times New Roman" w:eastAsia="Times New Roman" w:cs="Times New Roman"/>
          <w:color w:val="231F20"/>
          <w:spacing w:val="39"/>
        </w:rPr>
        <w:t xml:space="preserve"> </w:t>
      </w:r>
      <w:r>
        <w:rPr>
          <w:rFonts w:ascii="Times New Roman" w:hAnsi="Times New Roman" w:eastAsia="Times New Roman" w:cs="Times New Roman"/>
          <w:color w:val="231F20"/>
          <w:spacing w:val="-1"/>
        </w:rPr>
        <w:t>Elwood</w:t>
      </w:r>
      <w:r>
        <w:rPr>
          <w:rFonts w:ascii="Times New Roman" w:hAnsi="Times New Roman" w:eastAsia="Times New Roman" w:cs="Times New Roman"/>
          <w:color w:val="231F20"/>
          <w:spacing w:val="30"/>
        </w:rPr>
        <w:t xml:space="preserve"> </w:t>
      </w:r>
      <w:r>
        <w:rPr>
          <w:rFonts w:ascii="Times New Roman" w:hAnsi="Times New Roman" w:eastAsia="Times New Roman" w:cs="Times New Roman"/>
          <w:color w:val="231F20"/>
          <w:spacing w:val="-1"/>
        </w:rPr>
        <w:t>Shannon</w:t>
      </w:r>
      <w:r>
        <w:rPr>
          <w:color w:val="231F20"/>
          <w:spacing w:val="-1"/>
        </w:rPr>
        <w:t>）在他的著名论文《通信的数学理 </w:t>
      </w:r>
      <w:r>
        <w:rPr>
          <w:color w:val="231F20"/>
          <w:spacing w:val="-6"/>
        </w:rPr>
        <w:t>论》（</w:t>
      </w:r>
      <w:r>
        <w:rPr>
          <w:rFonts w:ascii="Times New Roman" w:hAnsi="Times New Roman" w:eastAsia="Times New Roman" w:cs="Times New Roman"/>
          <w:color w:val="231F20"/>
          <w:spacing w:val="-6"/>
        </w:rPr>
        <w:t>1948 </w:t>
      </w:r>
      <w:r>
        <w:rPr>
          <w:color w:val="231F20"/>
          <w:spacing w:val="-6"/>
        </w:rPr>
        <w:t>年）中提出计算信息量的公式为</w:t>
      </w:r>
    </w:p>
    <w:p>
      <w:pPr>
        <w:pStyle w:val="BodyText"/>
        <w:ind w:left="3880"/>
        <w:spacing w:before="96"/>
        <w:rPr/>
      </w:pPr>
      <w:r>
        <w:rPr>
          <w:rFonts w:ascii="Times New Roman" w:hAnsi="Times New Roman" w:eastAsia="Times New Roman" w:cs="Times New Roman"/>
          <w:i/>
          <w:iCs/>
          <w:color w:val="231F20"/>
          <w:spacing w:val="2"/>
          <w:position w:val="2"/>
        </w:rPr>
        <w:t>H </w:t>
      </w:r>
      <w:r>
        <w:rPr>
          <w:rFonts w:ascii="Microsoft YaHei" w:hAnsi="Microsoft YaHei" w:eastAsia="Microsoft YaHei" w:cs="Microsoft YaHei"/>
          <w:color w:val="231F20"/>
          <w:spacing w:val="2"/>
          <w:position w:val="2"/>
        </w:rPr>
        <w:t>= −</w:t>
      </w:r>
      <w:r>
        <w:rPr>
          <w:rFonts w:ascii="Microsoft YaHei" w:hAnsi="Microsoft YaHei" w:eastAsia="Microsoft YaHei" w:cs="Microsoft YaHei"/>
          <w:color w:val="231F20"/>
          <w:spacing w:val="-42"/>
          <w:position w:val="2"/>
        </w:rPr>
        <w:t xml:space="preserve"> </w:t>
      </w:r>
      <w:r>
        <w:rPr>
          <w:position w:val="-9"/>
        </w:rPr>
        <w:drawing>
          <wp:inline distT="0" distB="0" distL="0" distR="0">
            <wp:extent cx="138417" cy="242070"/>
            <wp:effectExtent l="0" t="0" r="0" b="0"/>
            <wp:docPr id="26" name="IM 26"/>
            <wp:cNvGraphicFramePr/>
            <a:graphic>
              <a:graphicData uri="http://schemas.openxmlformats.org/drawingml/2006/picture">
                <pic:pic>
                  <pic:nvPicPr>
                    <pic:cNvPr id="26" name="IM 26"/>
                    <pic:cNvPicPr/>
                  </pic:nvPicPr>
                  <pic:blipFill>
                    <a:blip r:embed="rId15"/>
                    <a:stretch>
                      <a:fillRect/>
                    </a:stretch>
                  </pic:blipFill>
                  <pic:spPr>
                    <a:xfrm rot="0">
                      <a:off x="0" y="0"/>
                      <a:ext cx="138417" cy="242070"/>
                    </a:xfrm>
                    <a:prstGeom prst="rect">
                      <a:avLst/>
                    </a:prstGeom>
                  </pic:spPr>
                </pic:pic>
              </a:graphicData>
            </a:graphic>
          </wp:inline>
        </w:drawing>
      </w:r>
      <w:r>
        <w:rPr>
          <w:rFonts w:ascii="Times New Roman" w:hAnsi="Times New Roman" w:eastAsia="Times New Roman" w:cs="Times New Roman"/>
          <w:i/>
          <w:iCs/>
          <w:color w:val="231F20"/>
          <w:position w:val="2"/>
        </w:rPr>
        <w:t>p</w:t>
      </w:r>
      <w:r>
        <w:rPr>
          <w:rFonts w:ascii="Times New Roman" w:hAnsi="Times New Roman" w:eastAsia="Times New Roman" w:cs="Times New Roman"/>
          <w:sz w:val="10"/>
          <w:szCs w:val="10"/>
          <w:i/>
          <w:iCs/>
          <w:color w:val="231F20"/>
          <w:position w:val="-2"/>
        </w:rPr>
        <w:t>k</w:t>
      </w:r>
      <w:r>
        <w:rPr>
          <w:rFonts w:ascii="Times New Roman" w:hAnsi="Times New Roman" w:eastAsia="Times New Roman" w:cs="Times New Roman"/>
          <w:sz w:val="10"/>
          <w:szCs w:val="10"/>
          <w:i/>
          <w:iCs/>
          <w:color w:val="231F20"/>
          <w:spacing w:val="2"/>
          <w:position w:val="-2"/>
        </w:rPr>
        <w:t xml:space="preserve">  </w:t>
      </w:r>
      <w:r>
        <w:rPr>
          <w:rFonts w:ascii="Times New Roman" w:hAnsi="Times New Roman" w:eastAsia="Times New Roman" w:cs="Times New Roman"/>
          <w:color w:val="231F20"/>
          <w:position w:val="2"/>
        </w:rPr>
        <w:t>log</w:t>
      </w:r>
      <w:r>
        <w:rPr>
          <w:rFonts w:ascii="Times New Roman" w:hAnsi="Times New Roman" w:eastAsia="Times New Roman" w:cs="Times New Roman"/>
          <w:sz w:val="10"/>
          <w:szCs w:val="10"/>
          <w:color w:val="231F20"/>
          <w:spacing w:val="2"/>
          <w:position w:val="-2"/>
        </w:rPr>
        <w:t>2</w:t>
      </w:r>
      <w:r>
        <w:rPr>
          <w:rFonts w:ascii="Times New Roman" w:hAnsi="Times New Roman" w:eastAsia="Times New Roman" w:cs="Times New Roman"/>
          <w:sz w:val="10"/>
          <w:szCs w:val="10"/>
          <w:color w:val="231F20"/>
          <w:spacing w:val="12"/>
          <w:position w:val="-2"/>
        </w:rPr>
        <w:t xml:space="preserve"> </w:t>
      </w:r>
      <w:r>
        <w:rPr>
          <w:rFonts w:ascii="Times New Roman" w:hAnsi="Times New Roman" w:eastAsia="Times New Roman" w:cs="Times New Roman"/>
          <w:i/>
          <w:iCs/>
          <w:color w:val="231F20"/>
          <w:position w:val="3"/>
        </w:rPr>
        <w:t>p</w:t>
      </w:r>
      <w:r>
        <w:rPr>
          <w:rFonts w:ascii="Times New Roman" w:hAnsi="Times New Roman" w:eastAsia="Times New Roman" w:cs="Times New Roman"/>
          <w:sz w:val="8"/>
          <w:szCs w:val="8"/>
          <w:i/>
          <w:iCs/>
          <w:color w:val="231F20"/>
          <w:position w:val="1"/>
        </w:rPr>
        <w:t>k                                                                                                                                      </w:t>
      </w:r>
      <w:r>
        <w:rPr>
          <w:color w:val="231F20"/>
          <w:spacing w:val="2"/>
        </w:rPr>
        <w:t>（</w:t>
      </w:r>
      <w:r>
        <w:rPr>
          <w:rFonts w:ascii="Times New Roman" w:hAnsi="Times New Roman" w:eastAsia="Times New Roman" w:cs="Times New Roman"/>
          <w:color w:val="231F20"/>
          <w:spacing w:val="2"/>
        </w:rPr>
        <w:t>1.1</w:t>
      </w:r>
      <w:r>
        <w:rPr>
          <w:color w:val="231F20"/>
          <w:spacing w:val="2"/>
        </w:rPr>
        <w:t>）</w:t>
      </w:r>
    </w:p>
    <w:p>
      <w:pPr>
        <w:ind w:left="4440"/>
        <w:spacing w:line="111" w:lineRule="exact"/>
        <w:rPr>
          <w:rFonts w:ascii="Times New Roman" w:hAnsi="Times New Roman" w:eastAsia="Times New Roman" w:cs="Times New Roman"/>
          <w:sz w:val="10"/>
          <w:szCs w:val="10"/>
        </w:rPr>
      </w:pPr>
      <w:r>
        <w:rPr>
          <w:rFonts w:ascii="Times New Roman" w:hAnsi="Times New Roman" w:eastAsia="Times New Roman" w:cs="Times New Roman"/>
          <w:sz w:val="10"/>
          <w:szCs w:val="10"/>
          <w:i/>
          <w:iCs/>
          <w:color w:val="231F20"/>
          <w:spacing w:val="-4"/>
        </w:rPr>
        <w:t>k</w:t>
      </w:r>
      <w:r>
        <w:rPr>
          <w:rFonts w:ascii="Microsoft YaHei" w:hAnsi="Microsoft YaHei" w:eastAsia="Microsoft YaHei" w:cs="Microsoft YaHei"/>
          <w:sz w:val="10"/>
          <w:szCs w:val="10"/>
          <w:color w:val="231F20"/>
          <w:spacing w:val="-4"/>
        </w:rPr>
        <w:t>=</w:t>
      </w:r>
      <w:r>
        <w:rPr>
          <w:rFonts w:ascii="Times New Roman" w:hAnsi="Times New Roman" w:eastAsia="Times New Roman" w:cs="Times New Roman"/>
          <w:sz w:val="10"/>
          <w:szCs w:val="10"/>
          <w:color w:val="231F20"/>
          <w:spacing w:val="-4"/>
        </w:rPr>
        <w:t>1</w:t>
      </w:r>
    </w:p>
    <w:p>
      <w:pPr>
        <w:pStyle w:val="BodyText"/>
        <w:ind w:left="582"/>
        <w:spacing w:before="140" w:line="221" w:lineRule="auto"/>
        <w:rPr/>
      </w:pPr>
      <w:r>
        <w:rPr>
          <w:color w:val="231F20"/>
          <w:spacing w:val="-17"/>
        </w:rPr>
        <w:t>式中， </w:t>
      </w:r>
      <w:r>
        <w:rPr>
          <w:rFonts w:ascii="Times New Roman" w:hAnsi="Times New Roman" w:eastAsia="Times New Roman" w:cs="Times New Roman"/>
          <w:i/>
          <w:iCs/>
          <w:color w:val="231F20"/>
          <w:spacing w:val="-17"/>
        </w:rPr>
        <w:t>n</w:t>
      </w:r>
      <w:r>
        <w:rPr>
          <w:rFonts w:ascii="Times New Roman" w:hAnsi="Times New Roman" w:eastAsia="Times New Roman" w:cs="Times New Roman"/>
          <w:i/>
          <w:iCs/>
          <w:color w:val="231F20"/>
          <w:spacing w:val="12"/>
        </w:rPr>
        <w:t xml:space="preserve"> </w:t>
      </w:r>
      <w:r>
        <w:rPr>
          <w:color w:val="231F20"/>
          <w:spacing w:val="-17"/>
        </w:rPr>
        <w:t>为组成信息的符号数；</w:t>
      </w:r>
      <w:r>
        <w:rPr>
          <w:color w:val="231F20"/>
          <w:spacing w:val="-27"/>
        </w:rPr>
        <w:t xml:space="preserve"> </w:t>
      </w:r>
      <w:r>
        <w:rPr>
          <w:rFonts w:ascii="Times New Roman" w:hAnsi="Times New Roman" w:eastAsia="Times New Roman" w:cs="Times New Roman"/>
          <w:i/>
          <w:iCs/>
          <w:color w:val="231F20"/>
          <w:spacing w:val="-17"/>
        </w:rPr>
        <w:t>p</w:t>
      </w:r>
      <w:r>
        <w:rPr>
          <w:rFonts w:ascii="Times New Roman" w:hAnsi="Times New Roman" w:eastAsia="Times New Roman" w:cs="Times New Roman"/>
          <w:sz w:val="12"/>
          <w:szCs w:val="12"/>
          <w:i/>
          <w:iCs/>
          <w:color w:val="231F20"/>
          <w:spacing w:val="-3"/>
          <w:position w:val="-6"/>
        </w:rPr>
        <w:t>k</w:t>
      </w:r>
      <w:r>
        <w:rPr>
          <w:rFonts w:ascii="Times New Roman" w:hAnsi="Times New Roman" w:eastAsia="Times New Roman" w:cs="Times New Roman"/>
          <w:sz w:val="12"/>
          <w:szCs w:val="12"/>
          <w:i/>
          <w:iCs/>
          <w:color w:val="231F20"/>
          <w:spacing w:val="28"/>
          <w:w w:val="101"/>
          <w:position w:val="-6"/>
        </w:rPr>
        <w:t xml:space="preserve"> </w:t>
      </w:r>
      <w:r>
        <w:rPr>
          <w:color w:val="231F20"/>
          <w:spacing w:val="-3"/>
        </w:rPr>
        <w:t>为符号</w:t>
      </w:r>
      <w:r>
        <w:rPr>
          <w:color w:val="231F20"/>
          <w:spacing w:val="-51"/>
        </w:rPr>
        <w:t xml:space="preserve"> </w:t>
      </w:r>
      <w:r>
        <w:rPr>
          <w:rFonts w:ascii="Times New Roman" w:hAnsi="Times New Roman" w:eastAsia="Times New Roman" w:cs="Times New Roman"/>
          <w:i/>
          <w:iCs/>
          <w:color w:val="231F20"/>
          <w:spacing w:val="-3"/>
        </w:rPr>
        <w:t>k</w:t>
      </w:r>
      <w:r>
        <w:rPr>
          <w:rFonts w:ascii="Times New Roman" w:hAnsi="Times New Roman" w:eastAsia="Times New Roman" w:cs="Times New Roman"/>
          <w:i/>
          <w:iCs/>
          <w:color w:val="231F20"/>
          <w:spacing w:val="17"/>
          <w:w w:val="101"/>
        </w:rPr>
        <w:t xml:space="preserve"> </w:t>
      </w:r>
      <w:r>
        <w:rPr>
          <w:color w:val="231F20"/>
          <w:spacing w:val="-3"/>
        </w:rPr>
        <w:t>出现的概率。</w:t>
      </w:r>
    </w:p>
    <w:p>
      <w:pPr>
        <w:pStyle w:val="BodyText"/>
        <w:ind w:left="579" w:right="74" w:firstLine="426"/>
        <w:spacing w:before="69" w:line="269" w:lineRule="auto"/>
        <w:jc w:val="both"/>
        <w:rPr/>
      </w:pPr>
      <w:r>
        <w:rPr>
          <w:color w:val="231F20"/>
          <w:spacing w:val="4"/>
        </w:rPr>
        <w:t>从式（</w:t>
      </w:r>
      <w:r>
        <w:rPr>
          <w:rFonts w:ascii="Times New Roman" w:hAnsi="Times New Roman" w:eastAsia="Times New Roman" w:cs="Times New Roman"/>
          <w:color w:val="231F20"/>
          <w:spacing w:val="4"/>
        </w:rPr>
        <w:t>1.1</w:t>
      </w:r>
      <w:r>
        <w:rPr>
          <w:color w:val="231F20"/>
          <w:spacing w:val="4"/>
        </w:rPr>
        <w:t>）可知，信息量计算公式的意义和热力学中熵的本质一样，故信息量也称</w:t>
      </w:r>
      <w:r>
        <w:rPr>
          <w:color w:val="231F20"/>
          <w:spacing w:val="8"/>
        </w:rPr>
        <w:t xml:space="preserve"> </w:t>
      </w:r>
      <w:r>
        <w:rPr>
          <w:color w:val="231F20"/>
        </w:rPr>
        <w:t>为信息熵。同时，当各个符号出现的概率相等，即“不确定性”最高时，信息熵可以被视</w:t>
      </w:r>
      <w:r>
        <w:rPr>
          <w:color w:val="231F20"/>
          <w:spacing w:val="8"/>
        </w:rPr>
        <w:t xml:space="preserve"> </w:t>
      </w:r>
      <w:r>
        <w:rPr>
          <w:color w:val="231F20"/>
          <w:spacing w:val="1"/>
        </w:rPr>
        <w:t>为对“不确定性”或“选择的自由度”的度</w:t>
      </w:r>
      <w:r>
        <w:rPr>
          <w:color w:val="231F20"/>
        </w:rPr>
        <w:t>量。美国数学家、控制论的奠基人诺伯特·维 </w:t>
      </w:r>
      <w:r>
        <w:rPr>
          <w:color w:val="231F20"/>
          <w:spacing w:val="5"/>
        </w:rPr>
        <w:t>纳（</w:t>
      </w:r>
      <w:r>
        <w:rPr>
          <w:rFonts w:ascii="Times New Roman" w:hAnsi="Times New Roman" w:eastAsia="Times New Roman" w:cs="Times New Roman"/>
          <w:color w:val="231F20"/>
        </w:rPr>
        <w:t>Norbert</w:t>
      </w:r>
      <w:r>
        <w:rPr>
          <w:rFonts w:ascii="Times New Roman" w:hAnsi="Times New Roman" w:eastAsia="Times New Roman" w:cs="Times New Roman"/>
          <w:color w:val="231F20"/>
          <w:spacing w:val="16"/>
        </w:rPr>
        <w:t xml:space="preserve"> </w:t>
      </w:r>
      <w:r>
        <w:rPr>
          <w:rFonts w:ascii="Times New Roman" w:hAnsi="Times New Roman" w:eastAsia="Times New Roman" w:cs="Times New Roman"/>
          <w:color w:val="231F20"/>
        </w:rPr>
        <w:t>Wiener</w:t>
      </w:r>
      <w:r>
        <w:rPr>
          <w:color w:val="231F20"/>
          <w:spacing w:val="5"/>
        </w:rPr>
        <w:t>）认为，信息是“我们在适应外部世界，控制</w:t>
      </w:r>
      <w:r>
        <w:rPr>
          <w:color w:val="231F20"/>
          <w:spacing w:val="4"/>
        </w:rPr>
        <w:t>外部世界的过程中同外</w:t>
      </w:r>
    </w:p>
    <w:p>
      <w:pPr>
        <w:spacing w:line="269" w:lineRule="auto"/>
        <w:sectPr>
          <w:footerReference w:type="default" r:id="rId10"/>
          <w:pgSz w:w="10489" w:h="14741"/>
          <w:pgMar w:top="482" w:right="1059" w:bottom="734" w:left="564" w:header="0" w:footer="552" w:gutter="0"/>
        </w:sectPr>
        <w:rPr/>
      </w:pPr>
    </w:p>
    <w:p>
      <w:pPr>
        <w:spacing w:before="41" w:line="204" w:lineRule="auto"/>
        <w:jc w:val="right"/>
        <w:rPr>
          <w:sz w:val="18"/>
          <w:szCs w:val="18"/>
        </w:rPr>
      </w:pPr>
      <w:r>
        <w:pict>
          <v:shape id="_x0000_s22" style="position:absolute;margin-left:181.618pt;margin-top:593.935pt;mso-position-vertical-relative:page;mso-position-horizontal-relative:page;width:69.15pt;height:24.5pt;z-index:25167462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332" w:type="dxa"/>
                    <w:tblInd w:w="25" w:type="dxa"/>
                    <w:shd w:val="clear" w:fill="E6E7E9"/>
                    <w:tblLayout w:type="fixed"/>
                    <w:tblBorders>
                      <w:left w:val="single" w:color="231F20" w:sz="4" w:space="0"/>
                      <w:bottom w:val="single" w:color="231F20" w:sz="4" w:space="0"/>
                      <w:right w:val="single" w:color="231F20" w:sz="4" w:space="0"/>
                      <w:top w:val="single" w:color="231F20" w:sz="4" w:space="0"/>
                    </w:tblBorders>
                  </w:tblPr>
                  <w:tblGrid>
                    <w:gridCol w:w="1332"/>
                  </w:tblGrid>
                  <w:tr>
                    <w:trPr>
                      <w:trHeight w:val="430" w:hRule="atLeast"/>
                    </w:trPr>
                    <w:tc>
                      <w:tcPr>
                        <w:shd w:val="clear" w:fill="E6E7E9"/>
                        <w:tcW w:w="1332" w:type="dxa"/>
                        <w:vAlign w:val="top"/>
                      </w:tcPr>
                      <w:p>
                        <w:pPr>
                          <w:ind w:left="488"/>
                          <w:spacing w:before="123" w:line="220" w:lineRule="auto"/>
                          <w:rPr>
                            <w:rFonts w:ascii="SimSun" w:hAnsi="SimSun" w:eastAsia="SimSun" w:cs="SimSun"/>
                            <w:sz w:val="18"/>
                            <w:szCs w:val="18"/>
                          </w:rPr>
                        </w:pPr>
                        <w:r>
                          <w:rPr>
                            <w:rFonts w:ascii="SimSun" w:hAnsi="SimSun" w:eastAsia="SimSun" w:cs="SimSun"/>
                            <w:sz w:val="18"/>
                            <w:szCs w:val="18"/>
                            <w:color w:val="231F20"/>
                            <w:spacing w:val="-2"/>
                          </w:rPr>
                          <w:t>信息</w:t>
                        </w:r>
                      </w:p>
                    </w:tc>
                  </w:tr>
                </w:tbl>
                <w:p>
                  <w:pPr>
                    <w:rPr>
                      <w:rFonts w:ascii="Arial"/>
                      <w:sz w:val="21"/>
                    </w:rPr>
                  </w:pPr>
                  <w:r/>
                </w:p>
              </w:txbxContent>
            </v:textbox>
          </v:shape>
        </w:pict>
      </w:r>
      <w:r>
        <w:drawing>
          <wp:anchor distT="0" distB="0" distL="0" distR="0" simplePos="0" relativeHeight="251676672" behindDoc="0" locked="0" layoutInCell="0" allowOverlap="1">
            <wp:simplePos x="0" y="0"/>
            <wp:positionH relativeFrom="page">
              <wp:posOffset>2050676</wp:posOffset>
            </wp:positionH>
            <wp:positionV relativeFrom="page">
              <wp:posOffset>7788510</wp:posOffset>
            </wp:positionV>
            <wp:extent cx="224379" cy="133350"/>
            <wp:effectExtent l="0" t="0" r="0" b="0"/>
            <wp:wrapNone/>
            <wp:docPr id="28" name="IM 28"/>
            <wp:cNvGraphicFramePr/>
            <a:graphic>
              <a:graphicData uri="http://schemas.openxmlformats.org/drawingml/2006/picture">
                <pic:pic>
                  <pic:nvPicPr>
                    <pic:cNvPr id="28" name="IM 28"/>
                    <pic:cNvPicPr/>
                  </pic:nvPicPr>
                  <pic:blipFill>
                    <a:blip r:embed="rId17"/>
                    <a:stretch>
                      <a:fillRect/>
                    </a:stretch>
                  </pic:blipFill>
                  <pic:spPr>
                    <a:xfrm rot="0">
                      <a:off x="0" y="0"/>
                      <a:ext cx="224379" cy="133350"/>
                    </a:xfrm>
                    <a:prstGeom prst="rect">
                      <a:avLst/>
                    </a:prstGeom>
                  </pic:spPr>
                </pic:pic>
              </a:graphicData>
            </a:graphic>
          </wp:anchor>
        </w:drawing>
      </w:r>
      <w:r>
        <w:drawing>
          <wp:anchor distT="0" distB="0" distL="0" distR="0" simplePos="0" relativeHeight="251677696" behindDoc="0" locked="0" layoutInCell="0" allowOverlap="1">
            <wp:simplePos x="0" y="0"/>
            <wp:positionH relativeFrom="page">
              <wp:posOffset>3218022</wp:posOffset>
            </wp:positionH>
            <wp:positionV relativeFrom="page">
              <wp:posOffset>7788510</wp:posOffset>
            </wp:positionV>
            <wp:extent cx="224373" cy="133350"/>
            <wp:effectExtent l="0" t="0" r="0" b="0"/>
            <wp:wrapNone/>
            <wp:docPr id="30" name="IM 30"/>
            <wp:cNvGraphicFramePr/>
            <a:graphic>
              <a:graphicData uri="http://schemas.openxmlformats.org/drawingml/2006/picture">
                <pic:pic>
                  <pic:nvPicPr>
                    <pic:cNvPr id="30" name="IM 30"/>
                    <pic:cNvPicPr/>
                  </pic:nvPicPr>
                  <pic:blipFill>
                    <a:blip r:embed="rId18"/>
                    <a:stretch>
                      <a:fillRect/>
                    </a:stretch>
                  </pic:blipFill>
                  <pic:spPr>
                    <a:xfrm rot="0">
                      <a:off x="0" y="0"/>
                      <a:ext cx="224373" cy="133350"/>
                    </a:xfrm>
                    <a:prstGeom prst="rect">
                      <a:avLst/>
                    </a:prstGeom>
                  </pic:spPr>
                </pic:pic>
              </a:graphicData>
            </a:graphic>
          </wp:anchor>
        </w:drawing>
      </w:r>
      <w:r>
        <w:drawing>
          <wp:anchor distT="0" distB="0" distL="0" distR="0" simplePos="0" relativeHeight="251678720" behindDoc="0" locked="0" layoutInCell="0" allowOverlap="1">
            <wp:simplePos x="0" y="0"/>
            <wp:positionH relativeFrom="page">
              <wp:posOffset>4389597</wp:posOffset>
            </wp:positionH>
            <wp:positionV relativeFrom="page">
              <wp:posOffset>7788510</wp:posOffset>
            </wp:positionV>
            <wp:extent cx="224373" cy="133350"/>
            <wp:effectExtent l="0" t="0" r="0" b="0"/>
            <wp:wrapNone/>
            <wp:docPr id="32" name="IM 32"/>
            <wp:cNvGraphicFramePr/>
            <a:graphic>
              <a:graphicData uri="http://schemas.openxmlformats.org/drawingml/2006/picture">
                <pic:pic>
                  <pic:nvPicPr>
                    <pic:cNvPr id="32" name="IM 32"/>
                    <pic:cNvPicPr/>
                  </pic:nvPicPr>
                  <pic:blipFill>
                    <a:blip r:embed="rId19"/>
                    <a:stretch>
                      <a:fillRect/>
                    </a:stretch>
                  </pic:blipFill>
                  <pic:spPr>
                    <a:xfrm rot="0">
                      <a:off x="0" y="0"/>
                      <a:ext cx="224373" cy="133350"/>
                    </a:xfrm>
                    <a:prstGeom prst="rect">
                      <a:avLst/>
                    </a:prstGeom>
                  </pic:spPr>
                </pic:pic>
              </a:graphicData>
            </a:graphic>
          </wp:anchor>
        </w:drawing>
      </w:r>
      <w:r>
        <w:pict>
          <v:shape id="_x0000_s24" style="position:absolute;margin-left:181.618pt;margin-top:618.435pt;mso-position-vertical-relative:page;mso-position-horizontal-relative:page;width:69.15pt;height:22pt;z-index:25167564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332" w:type="dxa"/>
                    <w:tblInd w:w="25" w:type="dxa"/>
                    <w:tblLayout w:type="fixed"/>
                    <w:tblBorders>
                      <w:left w:val="single" w:color="231F20" w:sz="4" w:space="0"/>
                      <w:bottom w:val="single" w:color="231F20" w:sz="4" w:space="0"/>
                      <w:right w:val="single" w:color="231F20" w:sz="4" w:space="0"/>
                      <w:top w:val="single" w:color="231F20" w:sz="4" w:space="0"/>
                    </w:tblBorders>
                  </w:tblPr>
                  <w:tblGrid>
                    <w:gridCol w:w="1332"/>
                  </w:tblGrid>
                  <w:tr>
                    <w:trPr>
                      <w:trHeight w:val="380" w:hRule="atLeast"/>
                    </w:trPr>
                    <w:tc>
                      <w:tcPr>
                        <w:tcW w:w="1332" w:type="dxa"/>
                        <w:vAlign w:val="top"/>
                      </w:tcPr>
                      <w:p>
                        <w:pPr>
                          <w:ind w:left="128"/>
                          <w:spacing w:before="87" w:line="220" w:lineRule="auto"/>
                          <w:rPr>
                            <w:rFonts w:ascii="SimSun" w:hAnsi="SimSun" w:eastAsia="SimSun" w:cs="SimSun"/>
                            <w:sz w:val="18"/>
                            <w:szCs w:val="18"/>
                          </w:rPr>
                        </w:pPr>
                        <w:r>
                          <w:rPr>
                            <w:rFonts w:ascii="SimSun" w:hAnsi="SimSun" w:eastAsia="SimSun" w:cs="SimSun"/>
                            <w:sz w:val="18"/>
                            <w:szCs w:val="18"/>
                            <w:color w:val="231F20"/>
                            <w:spacing w:val="-2"/>
                          </w:rPr>
                          <w:t>有意义的数据</w:t>
                        </w:r>
                      </w:p>
                    </w:tc>
                  </w:tr>
                </w:tbl>
                <w:p>
                  <w:pPr>
                    <w:rPr>
                      <w:rFonts w:ascii="Arial"/>
                      <w:sz w:val="21"/>
                    </w:rPr>
                  </w:pPr>
                  <w:r/>
                </w:p>
              </w:txbxContent>
            </v:textbox>
          </v:shape>
        </w:pict>
      </w:r>
      <w:r>
        <w:rPr>
          <w:rFonts w:ascii="Microsoft YaHei" w:hAnsi="Microsoft YaHei" w:eastAsia="Microsoft YaHei" w:cs="Microsoft YaHei"/>
          <w:sz w:val="18"/>
          <w:szCs w:val="18"/>
          <w:color w:val="4B4C4D"/>
          <w:spacing w:val="-2"/>
        </w:rPr>
        <w:t>第 </w:t>
      </w:r>
      <w:r>
        <w:rPr>
          <w:rFonts w:ascii="Arial" w:hAnsi="Arial" w:eastAsia="Arial" w:cs="Arial"/>
          <w:sz w:val="18"/>
          <w:szCs w:val="18"/>
          <w:b/>
          <w:bCs/>
          <w:color w:val="4B4C4D"/>
          <w:spacing w:val="-2"/>
        </w:rPr>
        <w:t>1 </w:t>
      </w:r>
      <w:r>
        <w:rPr>
          <w:rFonts w:ascii="Microsoft YaHei" w:hAnsi="Microsoft YaHei" w:eastAsia="Microsoft YaHei" w:cs="Microsoft YaHei"/>
          <w:sz w:val="18"/>
          <w:szCs w:val="18"/>
          <w:color w:val="4B4C4D"/>
          <w:spacing w:val="-2"/>
        </w:rPr>
        <w:t>章</w:t>
      </w:r>
      <w:r>
        <w:rPr>
          <w:rFonts w:ascii="Microsoft YaHei" w:hAnsi="Microsoft YaHei" w:eastAsia="Microsoft YaHei" w:cs="Microsoft YaHei"/>
          <w:sz w:val="18"/>
          <w:szCs w:val="18"/>
          <w:color w:val="4B4C4D"/>
          <w:spacing w:val="9"/>
        </w:rPr>
        <w:t xml:space="preserve">   </w:t>
      </w:r>
      <w:r>
        <w:rPr>
          <w:rFonts w:ascii="Microsoft YaHei" w:hAnsi="Microsoft YaHei" w:eastAsia="Microsoft YaHei" w:cs="Microsoft YaHei"/>
          <w:sz w:val="18"/>
          <w:szCs w:val="18"/>
          <w:color w:val="4B4C4D"/>
          <w:spacing w:val="-2"/>
        </w:rPr>
        <w:t>数据与数据治理  </w:t>
      </w:r>
      <w:r>
        <w:rPr>
          <w:sz w:val="18"/>
          <w:szCs w:val="18"/>
          <w:position w:val="-2"/>
        </w:rPr>
        <w:drawing>
          <wp:inline distT="0" distB="0" distL="0" distR="0">
            <wp:extent cx="339153" cy="105117"/>
            <wp:effectExtent l="0" t="0" r="0" b="0"/>
            <wp:docPr id="34" name="IM 34"/>
            <wp:cNvGraphicFramePr/>
            <a:graphic>
              <a:graphicData uri="http://schemas.openxmlformats.org/drawingml/2006/picture">
                <pic:pic>
                  <pic:nvPicPr>
                    <pic:cNvPr id="34" name="IM 34"/>
                    <pic:cNvPicPr/>
                  </pic:nvPicPr>
                  <pic:blipFill>
                    <a:blip r:embed="rId20"/>
                    <a:stretch>
                      <a:fillRect/>
                    </a:stretch>
                  </pic:blipFill>
                  <pic:spPr>
                    <a:xfrm rot="0">
                      <a:off x="0" y="0"/>
                      <a:ext cx="339153" cy="105117"/>
                    </a:xfrm>
                    <a:prstGeom prst="rect">
                      <a:avLst/>
                    </a:prstGeom>
                  </pic:spPr>
                </pic:pic>
              </a:graphicData>
            </a:graphic>
          </wp:inline>
        </w:drawing>
      </w:r>
    </w:p>
    <w:p>
      <w:pPr>
        <w:spacing w:line="307" w:lineRule="auto"/>
        <w:rPr>
          <w:rFonts w:ascii="Arial"/>
          <w:sz w:val="21"/>
        </w:rPr>
      </w:pPr>
      <w:r/>
    </w:p>
    <w:p>
      <w:pPr>
        <w:pStyle w:val="BodyText"/>
        <w:ind w:right="585" w:firstLine="2"/>
        <w:spacing w:before="68" w:line="263" w:lineRule="auto"/>
        <w:jc w:val="both"/>
        <w:rPr/>
      </w:pPr>
      <w:r>
        <w:rPr>
          <w:color w:val="231F20"/>
          <w:spacing w:val="-6"/>
        </w:rPr>
        <w:t>部世界交换的内容的名称”。英国学者阿希贝（</w:t>
      </w:r>
      <w:r>
        <w:rPr>
          <w:rFonts w:ascii="Times New Roman" w:hAnsi="Times New Roman" w:eastAsia="Times New Roman" w:cs="Times New Roman"/>
          <w:color w:val="231F20"/>
          <w:spacing w:val="-6"/>
        </w:rPr>
        <w:t>W.</w:t>
      </w:r>
      <w:r>
        <w:rPr>
          <w:rFonts w:ascii="Times New Roman" w:hAnsi="Times New Roman" w:eastAsia="Times New Roman" w:cs="Times New Roman"/>
          <w:color w:val="231F20"/>
          <w:spacing w:val="12"/>
        </w:rPr>
        <w:t xml:space="preserve"> </w:t>
      </w:r>
      <w:r>
        <w:rPr>
          <w:rFonts w:ascii="Times New Roman" w:hAnsi="Times New Roman" w:eastAsia="Times New Roman" w:cs="Times New Roman"/>
          <w:color w:val="231F20"/>
          <w:spacing w:val="-6"/>
        </w:rPr>
        <w:t>R. Ashby</w:t>
      </w:r>
      <w:r>
        <w:rPr>
          <w:color w:val="231F20"/>
          <w:spacing w:val="-6"/>
        </w:rPr>
        <w:t>）认为，信息的本性在于事物本 </w:t>
      </w:r>
      <w:r>
        <w:rPr>
          <w:color w:val="231F20"/>
          <w:spacing w:val="-2"/>
        </w:rPr>
        <w:t>身具有变异度。意大利学者朗高（</w:t>
      </w:r>
      <w:r>
        <w:rPr>
          <w:rFonts w:ascii="Times New Roman" w:hAnsi="Times New Roman" w:eastAsia="Times New Roman" w:cs="Times New Roman"/>
          <w:color w:val="231F20"/>
          <w:spacing w:val="-2"/>
        </w:rPr>
        <w:t>G.</w:t>
      </w:r>
      <w:r>
        <w:rPr>
          <w:rFonts w:ascii="Times New Roman" w:hAnsi="Times New Roman" w:eastAsia="Times New Roman" w:cs="Times New Roman"/>
          <w:color w:val="231F20"/>
          <w:spacing w:val="14"/>
        </w:rPr>
        <w:t xml:space="preserve"> </w:t>
      </w:r>
      <w:r>
        <w:rPr>
          <w:rFonts w:ascii="Times New Roman" w:hAnsi="Times New Roman" w:eastAsia="Times New Roman" w:cs="Times New Roman"/>
          <w:color w:val="231F20"/>
          <w:spacing w:val="-2"/>
        </w:rPr>
        <w:t>Lon</w:t>
      </w:r>
      <w:r>
        <w:rPr>
          <w:rFonts w:ascii="Times New Roman" w:hAnsi="Times New Roman" w:eastAsia="Times New Roman" w:cs="Times New Roman"/>
          <w:color w:val="231F20"/>
          <w:spacing w:val="-3"/>
        </w:rPr>
        <w:t>go</w:t>
      </w:r>
      <w:r>
        <w:rPr>
          <w:color w:val="231F20"/>
          <w:spacing w:val="-3"/>
        </w:rPr>
        <w:t>）在《信息论：新的趋势与未决问题》中认为，</w:t>
      </w:r>
      <w:r>
        <w:rPr>
          <w:color w:val="231F20"/>
        </w:rPr>
        <w:t xml:space="preserve"> </w:t>
      </w:r>
      <w:r>
        <w:rPr>
          <w:color w:val="231F20"/>
          <w:spacing w:val="-5"/>
        </w:rPr>
        <w:t>信息反映了事物的形成过程、关系及差别，包含于事物的差异之中，而不在事物本身。</w:t>
      </w:r>
    </w:p>
    <w:p>
      <w:pPr>
        <w:pStyle w:val="BodyText"/>
        <w:ind w:right="655" w:firstLine="426"/>
        <w:spacing w:before="72" w:line="269" w:lineRule="auto"/>
        <w:rPr/>
      </w:pPr>
      <w:r>
        <w:rPr>
          <w:color w:val="231F20"/>
        </w:rPr>
        <w:t>信息与数据既有联系，又有区别。信息是数据的内涵，是加载于数据之上，对数据作</w:t>
      </w:r>
      <w:r>
        <w:rPr>
          <w:color w:val="231F20"/>
          <w:spacing w:val="3"/>
        </w:rPr>
        <w:t xml:space="preserve"> </w:t>
      </w:r>
      <w:r>
        <w:rPr>
          <w:color w:val="231F20"/>
        </w:rPr>
        <w:t>出的具有含义的解释。数据和信息是不可分离的：数据是符号，是物理性的，信息是对数</w:t>
      </w:r>
      <w:r>
        <w:rPr>
          <w:color w:val="231F20"/>
          <w:spacing w:val="11"/>
        </w:rPr>
        <w:t xml:space="preserve"> </w:t>
      </w:r>
      <w:r>
        <w:rPr>
          <w:color w:val="231F20"/>
        </w:rPr>
        <w:t>据进行加工处理之后所得到的并对决策产生影响的数据，是逻辑性和观念性的；数据是信</w:t>
      </w:r>
      <w:r>
        <w:rPr>
          <w:color w:val="231F20"/>
          <w:spacing w:val="7"/>
        </w:rPr>
        <w:t xml:space="preserve"> </w:t>
      </w:r>
      <w:r>
        <w:rPr>
          <w:color w:val="231F20"/>
          <w:spacing w:val="-2"/>
        </w:rPr>
        <w:t>息的表现形式，信息是数据有意义的表示。</w:t>
      </w:r>
    </w:p>
    <w:p>
      <w:pPr>
        <w:pStyle w:val="BodyText"/>
        <w:ind w:left="426"/>
        <w:spacing w:before="73" w:line="220" w:lineRule="auto"/>
        <w:rPr/>
      </w:pPr>
      <w:r>
        <w:rPr>
          <w:rFonts w:ascii="Times New Roman" w:hAnsi="Times New Roman" w:eastAsia="Times New Roman" w:cs="Times New Roman"/>
          <w:color w:val="231F20"/>
          <w:spacing w:val="-3"/>
        </w:rPr>
        <w:t>3.</w:t>
      </w:r>
      <w:r>
        <w:rPr>
          <w:rFonts w:ascii="Times New Roman" w:hAnsi="Times New Roman" w:eastAsia="Times New Roman" w:cs="Times New Roman"/>
          <w:color w:val="231F20"/>
          <w:spacing w:val="12"/>
        </w:rPr>
        <w:t xml:space="preserve"> </w:t>
      </w:r>
      <w:r>
        <w:rPr>
          <w:color w:val="231F20"/>
          <w:spacing w:val="-3"/>
        </w:rPr>
        <w:t>知识的概念</w:t>
      </w:r>
    </w:p>
    <w:p>
      <w:pPr>
        <w:pStyle w:val="BodyText"/>
        <w:ind w:right="583" w:firstLine="429"/>
        <w:spacing w:before="72" w:line="277" w:lineRule="auto"/>
        <w:rPr/>
      </w:pPr>
      <w:r>
        <w:rPr>
          <w:color w:val="231F20"/>
          <w:spacing w:val="2"/>
        </w:rPr>
        <w:t>知识是对某个主题确信的认识，意指透过经验或联想，能够熟悉进而了解某件事情，</w:t>
      </w:r>
      <w:r>
        <w:rPr>
          <w:color w:val="231F20"/>
        </w:rPr>
        <w:t xml:space="preserve"> </w:t>
      </w:r>
      <w:r>
        <w:rPr>
          <w:color w:val="231F20"/>
        </w:rPr>
        <w:t>这种事实或状态就称为知识，其包括认识或了解某种科学、艺术或技巧。知识不是数</w:t>
      </w:r>
      <w:r>
        <w:rPr>
          <w:color w:val="231F20"/>
          <w:spacing w:val="-1"/>
        </w:rPr>
        <w:t>据和 </w:t>
      </w:r>
      <w:r>
        <w:rPr>
          <w:color w:val="231F20"/>
        </w:rPr>
        <w:t>信息的简单积累，知识是可用于指导实践的信息，知识是在人们改造世界的实践中所</w:t>
      </w:r>
      <w:r>
        <w:rPr>
          <w:color w:val="231F20"/>
          <w:spacing w:val="-1"/>
        </w:rPr>
        <w:t>获得 </w:t>
      </w:r>
      <w:r>
        <w:rPr>
          <w:color w:val="231F20"/>
        </w:rPr>
        <w:t>的认识和经验的总和。知识分为显性知识和隐性知识。显性知识是已经或可以文本化</w:t>
      </w:r>
      <w:r>
        <w:rPr>
          <w:color w:val="231F20"/>
          <w:spacing w:val="-1"/>
        </w:rPr>
        <w:t>的知 </w:t>
      </w:r>
      <w:r>
        <w:rPr>
          <w:color w:val="231F20"/>
        </w:rPr>
        <w:t>识，并易于传播。隐性知识是存在于个人头脑中的经验或知识，需要进行分析、总结</w:t>
      </w:r>
      <w:r>
        <w:rPr>
          <w:color w:val="231F20"/>
          <w:spacing w:val="-1"/>
        </w:rPr>
        <w:t>和展 </w:t>
      </w:r>
      <w:r>
        <w:rPr>
          <w:color w:val="231F20"/>
          <w:spacing w:val="6"/>
        </w:rPr>
        <w:t>现，才能转化成显性知识。知识也是人类在实践中认识客观世界（包括人类自身）</w:t>
      </w:r>
      <w:r>
        <w:rPr>
          <w:color w:val="231F20"/>
          <w:spacing w:val="5"/>
        </w:rPr>
        <w:t>的成</w:t>
      </w:r>
      <w:r>
        <w:rPr>
          <w:color w:val="231F20"/>
        </w:rPr>
        <w:t xml:space="preserve"> </w:t>
      </w:r>
      <w:r>
        <w:rPr>
          <w:color w:val="231F20"/>
        </w:rPr>
        <w:t>果，包括事实、信息的描述或在教育和实践中获得的技能。知识是人类从各个途径中</w:t>
      </w:r>
      <w:r>
        <w:rPr>
          <w:color w:val="231F20"/>
          <w:spacing w:val="-1"/>
        </w:rPr>
        <w:t>获得 </w:t>
      </w:r>
      <w:r>
        <w:rPr>
          <w:color w:val="231F20"/>
          <w:spacing w:val="-3"/>
        </w:rPr>
        <w:t>的经过提升总结与凝练的系统性认识。</w:t>
      </w:r>
    </w:p>
    <w:p>
      <w:pPr>
        <w:pStyle w:val="BodyText"/>
        <w:ind w:right="569" w:firstLine="427"/>
        <w:spacing w:before="71" w:line="277" w:lineRule="auto"/>
        <w:rPr/>
      </w:pPr>
      <w:r>
        <w:rPr>
          <w:color w:val="231F20"/>
          <w:spacing w:val="6"/>
        </w:rPr>
        <w:t>数据、信息和知识都是社会生产活动中的基础性资源，都可以采用</w:t>
      </w:r>
      <w:r>
        <w:rPr>
          <w:color w:val="231F20"/>
          <w:spacing w:val="5"/>
        </w:rPr>
        <w:t>数字、文字、符 </w:t>
      </w:r>
      <w:r>
        <w:rPr>
          <w:color w:val="231F20"/>
          <w:spacing w:val="2"/>
        </w:rPr>
        <w:t>号、图形、声音、影像等多媒体来表示。三者都具有客观性、真实性、正确性、价值性、</w:t>
      </w:r>
      <w:r>
        <w:rPr>
          <w:color w:val="231F20"/>
          <w:spacing w:val="18"/>
        </w:rPr>
        <w:t xml:space="preserve"> </w:t>
      </w:r>
      <w:r>
        <w:rPr>
          <w:color w:val="231F20"/>
          <w:spacing w:val="3"/>
        </w:rPr>
        <w:t>共享性等特点。数据、信息和知识都是对事</w:t>
      </w:r>
      <w:r>
        <w:rPr>
          <w:color w:val="231F20"/>
          <w:spacing w:val="2"/>
        </w:rPr>
        <w:t>实的描述，被统一到了对事实的认识过程中。</w:t>
      </w:r>
      <w:r>
        <w:rPr>
          <w:color w:val="231F20"/>
        </w:rPr>
        <w:t xml:space="preserve"> </w:t>
      </w:r>
      <w:r>
        <w:rPr>
          <w:color w:val="231F20"/>
        </w:rPr>
        <w:t>首先，由于人类认识能力存在一定局限性，或者人类认识世界过程中所采用的工具受到约</w:t>
      </w:r>
      <w:r>
        <w:rPr>
          <w:color w:val="231F20"/>
          <w:spacing w:val="1"/>
        </w:rPr>
        <w:t xml:space="preserve">  </w:t>
      </w:r>
      <w:r>
        <w:rPr>
          <w:color w:val="231F20"/>
        </w:rPr>
        <w:t>束，导致了数据只是对事实的初步认识甚至存在错误认识的表述；其次，人类借助思维的</w:t>
      </w:r>
      <w:r>
        <w:rPr>
          <w:color w:val="231F20"/>
          <w:spacing w:val="2"/>
        </w:rPr>
        <w:t xml:space="preserve">  </w:t>
      </w:r>
      <w:r>
        <w:rPr>
          <w:color w:val="231F20"/>
          <w:spacing w:val="3"/>
        </w:rPr>
        <w:t>发散性以及信息技术等对数据进行处理，进</w:t>
      </w:r>
      <w:r>
        <w:rPr>
          <w:color w:val="231F20"/>
          <w:spacing w:val="2"/>
        </w:rPr>
        <w:t>一步揭示事实中事物的联系，从而形成信息；</w:t>
      </w:r>
      <w:r>
        <w:rPr>
          <w:color w:val="231F20"/>
        </w:rPr>
        <w:t xml:space="preserve"> </w:t>
      </w:r>
      <w:r>
        <w:rPr>
          <w:color w:val="231F20"/>
          <w:spacing w:val="6"/>
        </w:rPr>
        <w:t>最终，在实践中，经过周而复始的处理与验</w:t>
      </w:r>
      <w:r>
        <w:rPr>
          <w:color w:val="231F20"/>
          <w:spacing w:val="5"/>
        </w:rPr>
        <w:t>证，现实中事物之间的关系被正确地表示出</w:t>
      </w:r>
      <w:r>
        <w:rPr>
          <w:color w:val="231F20"/>
        </w:rPr>
        <w:t xml:space="preserve">  </w:t>
      </w:r>
      <w:r>
        <w:rPr>
          <w:color w:val="231F20"/>
          <w:spacing w:val="-4"/>
        </w:rPr>
        <w:t>来，因此形成了知识。</w:t>
      </w:r>
    </w:p>
    <w:p>
      <w:pPr>
        <w:pStyle w:val="BodyText"/>
        <w:ind w:right="583" w:firstLine="426"/>
        <w:spacing w:before="69" w:line="277" w:lineRule="auto"/>
        <w:rPr/>
      </w:pPr>
      <w:r>
        <w:rPr>
          <w:color w:val="231F20"/>
        </w:rPr>
        <w:t>通过数据、信息及知识的概念可以看出，孤立的数据是没有意义的，</w:t>
      </w:r>
      <w:r>
        <w:rPr>
          <w:color w:val="231F20"/>
          <w:spacing w:val="-1"/>
        </w:rPr>
        <w:t>当数据被置于情 </w:t>
      </w:r>
      <w:r>
        <w:rPr>
          <w:color w:val="231F20"/>
          <w:spacing w:val="-5"/>
        </w:rPr>
        <w:t>境之下审视或经过分析处理之后，“数据”就会变为“信息”；一般而言，数据经由处理后</w:t>
      </w:r>
      <w:r>
        <w:rPr>
          <w:color w:val="231F20"/>
          <w:spacing w:val="14"/>
        </w:rPr>
        <w:t xml:space="preserve"> </w:t>
      </w:r>
      <w:r>
        <w:rPr>
          <w:color w:val="231F20"/>
        </w:rPr>
        <w:t>称为信息，从这些信息中分析出来的讯息称为知识，再通过不断地行动与验证，逐渐形</w:t>
      </w:r>
      <w:r>
        <w:rPr>
          <w:color w:val="231F20"/>
          <w:spacing w:val="-1"/>
        </w:rPr>
        <w:t>成 </w:t>
      </w:r>
      <w:r>
        <w:rPr>
          <w:color w:val="231F20"/>
          <w:spacing w:val="-1"/>
        </w:rPr>
        <w:t>智慧。举例来说（如图 </w:t>
      </w:r>
      <w:r>
        <w:rPr>
          <w:rFonts w:ascii="Times New Roman" w:hAnsi="Times New Roman" w:eastAsia="Times New Roman" w:cs="Times New Roman"/>
          <w:color w:val="231F20"/>
          <w:spacing w:val="-1"/>
        </w:rPr>
        <w:t>1.1 </w:t>
      </w:r>
      <w:r>
        <w:rPr>
          <w:color w:val="231F20"/>
          <w:spacing w:val="-1"/>
        </w:rPr>
        <w:t>所示</w:t>
      </w:r>
      <w:r>
        <w:rPr>
          <w:color w:val="231F20"/>
          <w:spacing w:val="-47"/>
          <w:w w:val="86"/>
        </w:rPr>
        <w:t>），</w:t>
      </w:r>
      <w:r>
        <w:rPr>
          <w:color w:val="231F20"/>
          <w:spacing w:val="-1"/>
        </w:rPr>
        <w:t>“</w:t>
      </w:r>
      <w:r>
        <w:rPr>
          <w:rFonts w:ascii="Times New Roman" w:hAnsi="Times New Roman" w:eastAsia="Times New Roman" w:cs="Times New Roman"/>
          <w:color w:val="231F20"/>
          <w:spacing w:val="-1"/>
        </w:rPr>
        <w:t>10</w:t>
      </w:r>
      <w:r>
        <w:rPr>
          <w:color w:val="231F20"/>
          <w:spacing w:val="-1"/>
        </w:rPr>
        <w:t>”就是一个</w:t>
      </w:r>
      <w:r>
        <w:rPr>
          <w:color w:val="231F20"/>
          <w:spacing w:val="-2"/>
        </w:rPr>
        <w:t>客观的记录，这个数据本身无意义；但 </w:t>
      </w:r>
      <w:r>
        <w:rPr>
          <w:color w:val="231F20"/>
          <w:spacing w:val="-1"/>
        </w:rPr>
        <w:t>是“</w:t>
      </w:r>
      <w:r>
        <w:rPr>
          <w:rFonts w:ascii="Times New Roman" w:hAnsi="Times New Roman" w:eastAsia="Times New Roman" w:cs="Times New Roman"/>
          <w:color w:val="231F20"/>
          <w:spacing w:val="-1"/>
        </w:rPr>
        <w:t>10 </w:t>
      </w:r>
      <w:r>
        <w:rPr>
          <w:color w:val="231F20"/>
          <w:spacing w:val="-1"/>
        </w:rPr>
        <w:t>个零件”就是有意义的数据，此时的数据可以称为信息；数据的价值还可以进一步</w:t>
      </w:r>
      <w:r>
        <w:rPr>
          <w:color w:val="231F20"/>
          <w:spacing w:val="11"/>
        </w:rPr>
        <w:t xml:space="preserve"> </w:t>
      </w:r>
      <w:r>
        <w:rPr>
          <w:color w:val="231F20"/>
          <w:spacing w:val="-6"/>
        </w:rPr>
        <w:t>体现为知识，例如，“生产线每天生产能力为</w:t>
      </w:r>
      <w:r>
        <w:rPr>
          <w:color w:val="231F20"/>
          <w:spacing w:val="-33"/>
        </w:rPr>
        <w:t xml:space="preserve"> </w:t>
      </w:r>
      <w:r>
        <w:rPr>
          <w:rFonts w:ascii="Times New Roman" w:hAnsi="Times New Roman" w:eastAsia="Times New Roman" w:cs="Times New Roman"/>
          <w:color w:val="231F20"/>
          <w:spacing w:val="-6"/>
        </w:rPr>
        <w:t>10 </w:t>
      </w:r>
      <w:r>
        <w:rPr>
          <w:color w:val="231F20"/>
          <w:spacing w:val="-6"/>
        </w:rPr>
        <w:t>个零件”，此时的数据融合了固化的经验，</w:t>
      </w:r>
      <w:r>
        <w:rPr>
          <w:color w:val="231F20"/>
        </w:rPr>
        <w:t xml:space="preserve"> </w:t>
      </w:r>
      <w:r>
        <w:rPr>
          <w:color w:val="231F20"/>
          <w:spacing w:val="-5"/>
        </w:rPr>
        <w:t>可以称为知识；数据的价值最高可以体现为智慧，例如，“通过流程优化将生产线每天生产</w:t>
      </w:r>
      <w:r>
        <w:rPr>
          <w:color w:val="231F20"/>
          <w:spacing w:val="11"/>
        </w:rPr>
        <w:t xml:space="preserve"> </w:t>
      </w:r>
      <w:r>
        <w:rPr>
          <w:color w:val="231F20"/>
          <w:spacing w:val="-7"/>
        </w:rPr>
        <w:t>能力提升到</w:t>
      </w:r>
      <w:r>
        <w:rPr>
          <w:color w:val="231F20"/>
          <w:spacing w:val="-36"/>
        </w:rPr>
        <w:t xml:space="preserve"> </w:t>
      </w:r>
      <w:r>
        <w:rPr>
          <w:rFonts w:ascii="Times New Roman" w:hAnsi="Times New Roman" w:eastAsia="Times New Roman" w:cs="Times New Roman"/>
          <w:color w:val="231F20"/>
          <w:spacing w:val="-7"/>
        </w:rPr>
        <w:t>20 </w:t>
      </w:r>
      <w:r>
        <w:rPr>
          <w:color w:val="231F20"/>
          <w:spacing w:val="-7"/>
        </w:rPr>
        <w:t>个零件”，此时的数据是组织解决问题能力的基础，是最具价值的信息形式。</w:t>
      </w:r>
    </w:p>
    <w:p>
      <w:pPr>
        <w:spacing w:before="4"/>
        <w:rPr/>
      </w:pPr>
      <w:r/>
    </w:p>
    <w:p>
      <w:pPr>
        <w:sectPr>
          <w:footerReference w:type="default" r:id="rId16"/>
          <w:pgSz w:w="10489" w:h="14741"/>
          <w:pgMar w:top="679" w:right="489" w:bottom="734" w:left="1141" w:header="0" w:footer="552" w:gutter="0"/>
          <w:cols w:equalWidth="0" w:num="1">
            <w:col w:w="8858" w:space="0"/>
          </w:cols>
        </w:sectPr>
        <w:rPr/>
      </w:pPr>
    </w:p>
    <w:tbl>
      <w:tblPr>
        <w:tblStyle w:val="TableNormal"/>
        <w:tblW w:w="1332" w:type="dxa"/>
        <w:tblInd w:w="674" w:type="dxa"/>
        <w:shd w:val="clear" w:fill="E6E7E9"/>
        <w:tblLayout w:type="fixed"/>
        <w:tblBorders>
          <w:left w:val="single" w:color="231F20" w:sz="4" w:space="0"/>
          <w:bottom w:val="single" w:color="231F20" w:sz="4" w:space="0"/>
          <w:right w:val="single" w:color="231F20" w:sz="4" w:space="0"/>
          <w:top w:val="single" w:color="231F20" w:sz="4" w:space="0"/>
        </w:tblBorders>
      </w:tblPr>
      <w:tblGrid>
        <w:gridCol w:w="1332"/>
      </w:tblGrid>
      <w:tr>
        <w:trPr>
          <w:trHeight w:val="430" w:hRule="atLeast"/>
        </w:trPr>
        <w:tc>
          <w:tcPr>
            <w:shd w:val="clear" w:fill="E6E7E9"/>
            <w:tcW w:w="1332" w:type="dxa"/>
            <w:vAlign w:val="top"/>
          </w:tcPr>
          <w:p>
            <w:pPr>
              <w:ind w:left="489"/>
              <w:spacing w:before="123" w:line="220" w:lineRule="auto"/>
              <w:rPr>
                <w:rFonts w:ascii="SimSun" w:hAnsi="SimSun" w:eastAsia="SimSun" w:cs="SimSun"/>
                <w:sz w:val="18"/>
                <w:szCs w:val="18"/>
              </w:rPr>
            </w:pPr>
            <w:r>
              <w:rPr>
                <w:rFonts w:ascii="SimSun" w:hAnsi="SimSun" w:eastAsia="SimSun" w:cs="SimSun"/>
                <w:sz w:val="18"/>
                <w:szCs w:val="18"/>
                <w:color w:val="231F20"/>
                <w:spacing w:val="-3"/>
              </w:rPr>
              <w:t>数据</w:t>
            </w:r>
          </w:p>
        </w:tc>
      </w:tr>
    </w:tbl>
    <w:p>
      <w:pPr>
        <w:spacing w:line="40" w:lineRule="exact"/>
        <w:rPr/>
      </w:pPr>
      <w:r/>
    </w:p>
    <w:tbl>
      <w:tblPr>
        <w:tblStyle w:val="TableNormal"/>
        <w:tblW w:w="1332" w:type="dxa"/>
        <w:tblInd w:w="674" w:type="dxa"/>
        <w:tblLayout w:type="fixed"/>
        <w:tblBorders>
          <w:left w:val="single" w:color="231F20" w:sz="4" w:space="0"/>
          <w:bottom w:val="single" w:color="231F20" w:sz="4" w:space="0"/>
          <w:right w:val="single" w:color="231F20" w:sz="4" w:space="0"/>
          <w:top w:val="single" w:color="231F20" w:sz="4" w:space="0"/>
        </w:tblBorders>
      </w:tblPr>
      <w:tblGrid>
        <w:gridCol w:w="1332"/>
      </w:tblGrid>
      <w:tr>
        <w:trPr>
          <w:trHeight w:val="380" w:hRule="atLeast"/>
        </w:trPr>
        <w:tc>
          <w:tcPr>
            <w:tcW w:w="1332" w:type="dxa"/>
            <w:vAlign w:val="top"/>
          </w:tcPr>
          <w:p>
            <w:pPr>
              <w:ind w:left="309"/>
              <w:spacing w:before="87" w:line="221" w:lineRule="auto"/>
              <w:rPr>
                <w:rFonts w:ascii="SimSun" w:hAnsi="SimSun" w:eastAsia="SimSun" w:cs="SimSun"/>
                <w:sz w:val="18"/>
                <w:szCs w:val="18"/>
              </w:rPr>
            </w:pPr>
            <w:r>
              <w:rPr>
                <w:rFonts w:ascii="SimSun" w:hAnsi="SimSun" w:eastAsia="SimSun" w:cs="SimSun"/>
                <w:sz w:val="18"/>
                <w:szCs w:val="18"/>
                <w:color w:val="231F20"/>
                <w:spacing w:val="-2"/>
              </w:rPr>
              <w:t>客观记录</w:t>
            </w:r>
          </w:p>
        </w:tc>
      </w:tr>
    </w:tbl>
    <w:p>
      <w:pPr>
        <w:ind w:left="1272"/>
        <w:spacing w:before="95"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6"/>
        </w:rPr>
        <w:t>10</w:t>
      </w:r>
    </w:p>
    <w:p>
      <w:pPr>
        <w:spacing w:line="14" w:lineRule="auto"/>
        <w:rPr>
          <w:rFonts w:ascii="Arial"/>
          <w:sz w:val="2"/>
        </w:rPr>
      </w:pPr>
      <w:r>
        <w:rPr>
          <w:rFonts w:ascii="Arial" w:hAnsi="Arial" w:eastAsia="Arial" w:cs="Arial"/>
          <w:sz w:val="2"/>
          <w:szCs w:val="2"/>
        </w:rPr>
        <w:br w:type="column"/>
      </w:r>
    </w:p>
    <w:tbl>
      <w:tblPr>
        <w:tblStyle w:val="TableNormal"/>
        <w:tblW w:w="1332" w:type="dxa"/>
        <w:tblInd w:w="2269" w:type="dxa"/>
        <w:shd w:val="clear" w:fill="E6E7E9"/>
        <w:tblLayout w:type="fixed"/>
        <w:tblBorders>
          <w:left w:val="single" w:color="231F20" w:sz="4" w:space="0"/>
          <w:bottom w:val="single" w:color="231F20" w:sz="4" w:space="0"/>
          <w:right w:val="single" w:color="231F20" w:sz="4" w:space="0"/>
          <w:top w:val="single" w:color="231F20" w:sz="4" w:space="0"/>
        </w:tblBorders>
      </w:tblPr>
      <w:tblGrid>
        <w:gridCol w:w="1332"/>
      </w:tblGrid>
      <w:tr>
        <w:trPr>
          <w:trHeight w:val="428" w:hRule="atLeast"/>
        </w:trPr>
        <w:tc>
          <w:tcPr>
            <w:shd w:val="clear" w:fill="E6E7E9"/>
            <w:tcW w:w="1332" w:type="dxa"/>
            <w:vAlign w:val="top"/>
          </w:tcPr>
          <w:p>
            <w:pPr>
              <w:ind w:left="491"/>
              <w:spacing w:before="122" w:line="222" w:lineRule="auto"/>
              <w:rPr>
                <w:rFonts w:ascii="SimSun" w:hAnsi="SimSun" w:eastAsia="SimSun" w:cs="SimSun"/>
                <w:sz w:val="18"/>
                <w:szCs w:val="18"/>
              </w:rPr>
            </w:pPr>
            <w:r>
              <w:rPr>
                <w:rFonts w:ascii="SimSun" w:hAnsi="SimSun" w:eastAsia="SimSun" w:cs="SimSun"/>
                <w:sz w:val="18"/>
                <w:szCs w:val="18"/>
                <w:color w:val="231F20"/>
                <w:spacing w:val="-3"/>
              </w:rPr>
              <w:t>知识</w:t>
            </w:r>
          </w:p>
        </w:tc>
      </w:tr>
    </w:tbl>
    <w:p>
      <w:pPr>
        <w:spacing w:line="40" w:lineRule="exact"/>
        <w:rPr/>
      </w:pPr>
      <w:r/>
    </w:p>
    <w:tbl>
      <w:tblPr>
        <w:tblStyle w:val="TableNormal"/>
        <w:tblW w:w="1332" w:type="dxa"/>
        <w:tblInd w:w="2269" w:type="dxa"/>
        <w:tblLayout w:type="fixed"/>
        <w:tblBorders>
          <w:left w:val="single" w:color="231F20" w:sz="4" w:space="0"/>
          <w:bottom w:val="single" w:color="231F20" w:sz="4" w:space="0"/>
          <w:right w:val="single" w:color="231F20" w:sz="4" w:space="0"/>
          <w:top w:val="single" w:color="231F20" w:sz="4" w:space="0"/>
        </w:tblBorders>
      </w:tblPr>
      <w:tblGrid>
        <w:gridCol w:w="1332"/>
      </w:tblGrid>
      <w:tr>
        <w:trPr>
          <w:trHeight w:val="380" w:hRule="atLeast"/>
        </w:trPr>
        <w:tc>
          <w:tcPr>
            <w:tcW w:w="1332" w:type="dxa"/>
            <w:vAlign w:val="top"/>
          </w:tcPr>
          <w:p>
            <w:pPr>
              <w:ind w:left="219"/>
              <w:spacing w:before="87" w:line="221" w:lineRule="auto"/>
              <w:rPr>
                <w:rFonts w:ascii="SimSun" w:hAnsi="SimSun" w:eastAsia="SimSun" w:cs="SimSun"/>
                <w:sz w:val="18"/>
                <w:szCs w:val="18"/>
              </w:rPr>
            </w:pPr>
            <w:r>
              <w:rPr>
                <w:rFonts w:ascii="SimSun" w:hAnsi="SimSun" w:eastAsia="SimSun" w:cs="SimSun"/>
                <w:sz w:val="18"/>
                <w:szCs w:val="18"/>
                <w:color w:val="231F20"/>
                <w:spacing w:val="-2"/>
              </w:rPr>
              <w:t>经验的固化</w:t>
            </w:r>
          </w:p>
        </w:tc>
      </w:tr>
    </w:tbl>
    <w:p>
      <w:pPr>
        <w:pStyle w:val="BodyText"/>
        <w:ind w:left="755"/>
        <w:spacing w:before="65" w:line="220" w:lineRule="auto"/>
        <w:rPr>
          <w:sz w:val="18"/>
          <w:szCs w:val="18"/>
        </w:rPr>
      </w:pPr>
      <w:r>
        <w:rPr>
          <w:rFonts w:ascii="Times New Roman" w:hAnsi="Times New Roman" w:eastAsia="Times New Roman" w:cs="Times New Roman"/>
          <w:sz w:val="18"/>
          <w:szCs w:val="18"/>
          <w:color w:val="231F20"/>
          <w:spacing w:val="-3"/>
        </w:rPr>
        <w:t>10</w:t>
      </w:r>
      <w:r>
        <w:rPr>
          <w:sz w:val="18"/>
          <w:szCs w:val="18"/>
          <w:color w:val="231F20"/>
          <w:spacing w:val="-3"/>
        </w:rPr>
        <w:t>个零件</w:t>
      </w:r>
      <w:r>
        <w:rPr>
          <w:sz w:val="18"/>
          <w:szCs w:val="18"/>
          <w:color w:val="231F20"/>
          <w:spacing w:val="7"/>
        </w:rPr>
        <w:t xml:space="preserve">        </w:t>
      </w:r>
      <w:r>
        <w:rPr>
          <w:sz w:val="18"/>
          <w:szCs w:val="18"/>
          <w:color w:val="231F20"/>
          <w:spacing w:val="-3"/>
        </w:rPr>
        <w:t>每天生产</w:t>
      </w:r>
      <w:r>
        <w:rPr>
          <w:rFonts w:ascii="Times New Roman" w:hAnsi="Times New Roman" w:eastAsia="Times New Roman" w:cs="Times New Roman"/>
          <w:sz w:val="18"/>
          <w:szCs w:val="18"/>
          <w:color w:val="231F20"/>
          <w:spacing w:val="-3"/>
        </w:rPr>
        <w:t>10</w:t>
      </w:r>
      <w:r>
        <w:rPr>
          <w:sz w:val="18"/>
          <w:szCs w:val="18"/>
          <w:color w:val="231F20"/>
          <w:spacing w:val="-3"/>
        </w:rPr>
        <w:t>个零件</w:t>
      </w:r>
    </w:p>
    <w:p>
      <w:pPr>
        <w:spacing w:line="269" w:lineRule="auto"/>
        <w:rPr>
          <w:rFonts w:ascii="Arial"/>
          <w:sz w:val="21"/>
        </w:rPr>
      </w:pPr>
      <w:r/>
    </w:p>
    <w:p>
      <w:pPr>
        <w:pStyle w:val="BodyText"/>
        <w:ind w:left="464"/>
        <w:spacing w:before="59" w:line="185" w:lineRule="auto"/>
        <w:rPr>
          <w:sz w:val="18"/>
          <w:szCs w:val="18"/>
        </w:rPr>
      </w:pPr>
      <w:r>
        <w:rPr>
          <w:sz w:val="18"/>
          <w:szCs w:val="18"/>
          <w:color w:val="231F20"/>
          <w:spacing w:val="-2"/>
        </w:rPr>
        <w:t>图</w:t>
      </w:r>
      <w:r>
        <w:rPr>
          <w:sz w:val="18"/>
          <w:szCs w:val="18"/>
          <w:color w:val="231F20"/>
          <w:spacing w:val="-24"/>
        </w:rPr>
        <w:t xml:space="preserve"> </w:t>
      </w:r>
      <w:r>
        <w:rPr>
          <w:rFonts w:ascii="Times New Roman" w:hAnsi="Times New Roman" w:eastAsia="Times New Roman" w:cs="Times New Roman"/>
          <w:sz w:val="18"/>
          <w:szCs w:val="18"/>
          <w:color w:val="231F20"/>
          <w:spacing w:val="-2"/>
        </w:rPr>
        <w:t>1.1    </w:t>
      </w:r>
      <w:r>
        <w:rPr>
          <w:sz w:val="18"/>
          <w:szCs w:val="18"/>
          <w:color w:val="231F20"/>
          <w:spacing w:val="-2"/>
        </w:rPr>
        <w:t>数据、信息、知识与智慧</w:t>
      </w:r>
      <w:r>
        <w:rPr>
          <w:sz w:val="18"/>
          <w:szCs w:val="18"/>
          <w:color w:val="231F20"/>
          <w:spacing w:val="-3"/>
        </w:rPr>
        <w:t>的关系</w:t>
      </w:r>
    </w:p>
    <w:p>
      <w:pPr>
        <w:spacing w:line="14" w:lineRule="auto"/>
        <w:rPr>
          <w:rFonts w:ascii="Arial"/>
          <w:sz w:val="2"/>
        </w:rPr>
      </w:pPr>
      <w:r>
        <w:rPr>
          <w:rFonts w:ascii="Arial" w:hAnsi="Arial" w:eastAsia="Arial" w:cs="Arial"/>
          <w:sz w:val="2"/>
          <w:szCs w:val="2"/>
        </w:rPr>
        <w:br w:type="column"/>
      </w:r>
    </w:p>
    <w:tbl>
      <w:tblPr>
        <w:tblStyle w:val="TableNormal"/>
        <w:tblW w:w="1332" w:type="dxa"/>
        <w:tblInd w:w="5" w:type="dxa"/>
        <w:shd w:val="clear" w:fill="E6E7E9"/>
        <w:tblLayout w:type="fixed"/>
        <w:tblBorders>
          <w:left w:val="single" w:color="231F20" w:sz="4" w:space="0"/>
          <w:bottom w:val="single" w:color="231F20" w:sz="4" w:space="0"/>
          <w:right w:val="single" w:color="231F20" w:sz="4" w:space="0"/>
          <w:top w:val="single" w:color="231F20" w:sz="4" w:space="0"/>
        </w:tblBorders>
      </w:tblPr>
      <w:tblGrid>
        <w:gridCol w:w="1332"/>
      </w:tblGrid>
      <w:tr>
        <w:trPr>
          <w:trHeight w:val="428" w:hRule="atLeast"/>
        </w:trPr>
        <w:tc>
          <w:tcPr>
            <w:shd w:val="clear" w:fill="E6E7E9"/>
            <w:tcW w:w="1332" w:type="dxa"/>
            <w:vAlign w:val="top"/>
          </w:tcPr>
          <w:p>
            <w:pPr>
              <w:ind w:left="492"/>
              <w:spacing w:before="122" w:line="222" w:lineRule="auto"/>
              <w:rPr>
                <w:rFonts w:ascii="SimSun" w:hAnsi="SimSun" w:eastAsia="SimSun" w:cs="SimSun"/>
                <w:sz w:val="18"/>
                <w:szCs w:val="18"/>
              </w:rPr>
            </w:pPr>
            <w:r>
              <w:rPr>
                <w:rFonts w:ascii="SimSun" w:hAnsi="SimSun" w:eastAsia="SimSun" w:cs="SimSun"/>
                <w:sz w:val="18"/>
                <w:szCs w:val="18"/>
                <w:color w:val="231F20"/>
                <w:spacing w:val="-3"/>
              </w:rPr>
              <w:t>智慧</w:t>
            </w:r>
          </w:p>
        </w:tc>
      </w:tr>
    </w:tbl>
    <w:p>
      <w:pPr>
        <w:spacing w:line="40" w:lineRule="exact"/>
        <w:rPr/>
      </w:pPr>
      <w:r/>
    </w:p>
    <w:tbl>
      <w:tblPr>
        <w:tblStyle w:val="TableNormal"/>
        <w:tblW w:w="1332" w:type="dxa"/>
        <w:tblInd w:w="5" w:type="dxa"/>
        <w:tblLayout w:type="fixed"/>
        <w:tblBorders>
          <w:left w:val="single" w:color="231F20" w:sz="4" w:space="0"/>
          <w:bottom w:val="single" w:color="231F20" w:sz="4" w:space="0"/>
          <w:right w:val="single" w:color="231F20" w:sz="4" w:space="0"/>
          <w:top w:val="single" w:color="231F20" w:sz="4" w:space="0"/>
        </w:tblBorders>
      </w:tblPr>
      <w:tblGrid>
        <w:gridCol w:w="1332"/>
      </w:tblGrid>
      <w:tr>
        <w:trPr>
          <w:trHeight w:val="380" w:hRule="atLeast"/>
        </w:trPr>
        <w:tc>
          <w:tcPr>
            <w:tcW w:w="1332" w:type="dxa"/>
            <w:vAlign w:val="top"/>
          </w:tcPr>
          <w:p>
            <w:pPr>
              <w:ind w:left="37"/>
              <w:spacing w:before="87" w:line="220" w:lineRule="auto"/>
              <w:rPr>
                <w:rFonts w:ascii="SimSun" w:hAnsi="SimSun" w:eastAsia="SimSun" w:cs="SimSun"/>
                <w:sz w:val="18"/>
                <w:szCs w:val="18"/>
              </w:rPr>
            </w:pPr>
            <w:r>
              <w:rPr>
                <w:rFonts w:ascii="SimSun" w:hAnsi="SimSun" w:eastAsia="SimSun" w:cs="SimSun"/>
                <w:sz w:val="18"/>
                <w:szCs w:val="18"/>
                <w:color w:val="231F20"/>
                <w:spacing w:val="-1"/>
              </w:rPr>
              <w:t>解决问题的能力</w:t>
            </w:r>
          </w:p>
        </w:tc>
      </w:tr>
    </w:tbl>
    <w:p>
      <w:pPr>
        <w:pStyle w:val="BodyText"/>
        <w:ind w:left="48"/>
        <w:spacing w:before="62" w:line="224" w:lineRule="auto"/>
        <w:rPr>
          <w:sz w:val="18"/>
          <w:szCs w:val="18"/>
        </w:rPr>
      </w:pPr>
      <w:r>
        <w:rPr>
          <w:sz w:val="18"/>
          <w:szCs w:val="18"/>
          <w:color w:val="231F20"/>
          <w:spacing w:val="-1"/>
        </w:rPr>
        <w:t>提高产能到每天</w:t>
      </w:r>
    </w:p>
    <w:p>
      <w:pPr>
        <w:pStyle w:val="BodyText"/>
        <w:ind w:left="314"/>
        <w:spacing w:line="220" w:lineRule="auto"/>
        <w:rPr>
          <w:sz w:val="18"/>
          <w:szCs w:val="18"/>
        </w:rPr>
      </w:pPr>
      <w:r>
        <w:rPr>
          <w:rFonts w:ascii="Times New Roman" w:hAnsi="Times New Roman" w:eastAsia="Times New Roman" w:cs="Times New Roman"/>
          <w:sz w:val="18"/>
          <w:szCs w:val="18"/>
          <w:color w:val="231F20"/>
          <w:spacing w:val="-1"/>
        </w:rPr>
        <w:t>20</w:t>
      </w:r>
      <w:r>
        <w:rPr>
          <w:sz w:val="18"/>
          <w:szCs w:val="18"/>
          <w:color w:val="231F20"/>
          <w:spacing w:val="-1"/>
        </w:rPr>
        <w:t>个零件</w:t>
      </w:r>
    </w:p>
    <w:p>
      <w:pPr>
        <w:spacing w:line="220" w:lineRule="auto"/>
        <w:sectPr>
          <w:type w:val="continuous"/>
          <w:pgSz w:w="10489" w:h="14741"/>
          <w:pgMar w:top="679" w:right="489" w:bottom="734" w:left="1141" w:header="0" w:footer="552" w:gutter="0"/>
          <w:cols w:equalWidth="0" w:num="3">
            <w:col w:w="2013" w:space="76"/>
            <w:col w:w="4037" w:space="68"/>
            <w:col w:w="2665" w:space="0"/>
          </w:cols>
        </w:sectPr>
        <w:rPr>
          <w:sz w:val="18"/>
          <w:szCs w:val="18"/>
        </w:rPr>
      </w:pPr>
    </w:p>
    <w:p>
      <w:pPr>
        <w:spacing w:before="78" w:line="215" w:lineRule="auto"/>
        <w:rPr>
          <w:rFonts w:ascii="Microsoft YaHei" w:hAnsi="Microsoft YaHei" w:eastAsia="Microsoft YaHei" w:cs="Microsoft YaHei"/>
          <w:sz w:val="18"/>
          <w:szCs w:val="18"/>
        </w:rPr>
      </w:pPr>
      <w:r>
        <w:pict>
          <v:rect id="_x0000_s26" style="position:absolute;margin-left:56.6924pt;margin-top:82.205pt;mso-position-vertical-relative:page;mso-position-horizontal-relative:page;width:215.6pt;height:0.85pt;z-index:251683840;" o:allowincell="f" fillcolor="#76787B" filled="true" stroked="false"/>
        </w:pict>
      </w:r>
      <w:r>
        <w:drawing>
          <wp:anchor distT="0" distB="0" distL="0" distR="0" simplePos="0" relativeHeight="251680768" behindDoc="1" locked="0" layoutInCell="1" allowOverlap="1">
            <wp:simplePos x="0" y="0"/>
            <wp:positionH relativeFrom="column">
              <wp:posOffset>108299</wp:posOffset>
            </wp:positionH>
            <wp:positionV relativeFrom="paragraph">
              <wp:posOffset>79371</wp:posOffset>
            </wp:positionV>
            <wp:extent cx="83329" cy="46985"/>
            <wp:effectExtent l="0" t="0" r="0" b="0"/>
            <wp:wrapNone/>
            <wp:docPr id="36" name="IM 36"/>
            <wp:cNvGraphicFramePr/>
            <a:graphic>
              <a:graphicData uri="http://schemas.openxmlformats.org/drawingml/2006/picture">
                <pic:pic>
                  <pic:nvPicPr>
                    <pic:cNvPr id="36" name="IM 36"/>
                    <pic:cNvPicPr/>
                  </pic:nvPicPr>
                  <pic:blipFill>
                    <a:blip r:embed="rId22"/>
                    <a:stretch>
                      <a:fillRect/>
                    </a:stretch>
                  </pic:blipFill>
                  <pic:spPr>
                    <a:xfrm rot="0">
                      <a:off x="0" y="0"/>
                      <a:ext cx="83329" cy="46985"/>
                    </a:xfrm>
                    <a:prstGeom prst="rect">
                      <a:avLst/>
                    </a:prstGeom>
                  </pic:spPr>
                </pic:pic>
              </a:graphicData>
            </a:graphic>
          </wp:anchor>
        </w:drawing>
      </w:r>
      <w:r>
        <w:drawing>
          <wp:anchor distT="0" distB="0" distL="0" distR="0" simplePos="0" relativeHeight="251679744" behindDoc="1" locked="0" layoutInCell="1" allowOverlap="1">
            <wp:simplePos x="0" y="0"/>
            <wp:positionH relativeFrom="column">
              <wp:posOffset>38548</wp:posOffset>
            </wp:positionH>
            <wp:positionV relativeFrom="paragraph">
              <wp:posOffset>120488</wp:posOffset>
            </wp:positionV>
            <wp:extent cx="153080" cy="73048"/>
            <wp:effectExtent l="0" t="0" r="0" b="0"/>
            <wp:wrapNone/>
            <wp:docPr id="38" name="IM 38"/>
            <wp:cNvGraphicFramePr/>
            <a:graphic>
              <a:graphicData uri="http://schemas.openxmlformats.org/drawingml/2006/picture">
                <pic:pic>
                  <pic:nvPicPr>
                    <pic:cNvPr id="38" name="IM 38"/>
                    <pic:cNvPicPr/>
                  </pic:nvPicPr>
                  <pic:blipFill>
                    <a:blip r:embed="rId23"/>
                    <a:stretch>
                      <a:fillRect/>
                    </a:stretch>
                  </pic:blipFill>
                  <pic:spPr>
                    <a:xfrm rot="0">
                      <a:off x="0" y="0"/>
                      <a:ext cx="153080" cy="73048"/>
                    </a:xfrm>
                    <a:prstGeom prst="rect">
                      <a:avLst/>
                    </a:prstGeom>
                  </pic:spPr>
                </pic:pic>
              </a:graphicData>
            </a:graphic>
          </wp:anchor>
        </w:drawing>
      </w:r>
      <w:r>
        <w:rPr>
          <w:rFonts w:ascii="Microsoft YaHei" w:hAnsi="Microsoft YaHei" w:eastAsia="Microsoft YaHei" w:cs="Microsoft YaHei"/>
          <w:sz w:val="18"/>
          <w:szCs w:val="18"/>
          <w:color w:val="D9D9D9"/>
          <w:position w:val="-5"/>
        </w:rPr>
        <w:drawing>
          <wp:inline distT="0" distB="0" distL="0" distR="0">
            <wp:extent cx="369303" cy="250002"/>
            <wp:effectExtent l="0" t="0" r="0" b="0"/>
            <wp:docPr id="40" name="IM 40"/>
            <wp:cNvGraphicFramePr/>
            <a:graphic>
              <a:graphicData uri="http://schemas.openxmlformats.org/drawingml/2006/picture">
                <pic:pic>
                  <pic:nvPicPr>
                    <pic:cNvPr id="40" name="IM 40"/>
                    <pic:cNvPicPr/>
                  </pic:nvPicPr>
                  <pic:blipFill>
                    <a:blip r:embed="rId24"/>
                    <a:stretch>
                      <a:fillRect/>
                    </a:stretch>
                  </pic:blipFill>
                  <pic:spPr>
                    <a:xfrm rot="0">
                      <a:off x="0" y="0"/>
                      <a:ext cx="369303" cy="250002"/>
                    </a:xfrm>
                    <a:prstGeom prst="rect">
                      <a:avLst/>
                    </a:prstGeom>
                  </pic:spPr>
                </pic:pic>
              </a:graphicData>
            </a:graphic>
          </wp:inline>
        </w:drawing>
      </w:r>
      <w:r>
        <w:rPr>
          <w:rFonts w:ascii="Microsoft YaHei" w:hAnsi="Microsoft YaHei" w:eastAsia="Microsoft YaHei" w:cs="Microsoft YaHei"/>
          <w:sz w:val="18"/>
          <w:szCs w:val="18"/>
          <w:color w:val="D9D9D9"/>
          <w:spacing w:val="49"/>
        </w:rPr>
        <w:t xml:space="preserve"> </w:t>
      </w:r>
      <w:r>
        <w:rPr>
          <w:rFonts w:ascii="Microsoft YaHei" w:hAnsi="Microsoft YaHei" w:eastAsia="Microsoft YaHei" w:cs="Microsoft YaHei"/>
          <w:sz w:val="18"/>
          <w:szCs w:val="18"/>
          <w:color w:val="D9D9D9"/>
          <w:spacing w:val="2"/>
        </w:rPr>
        <w:t>数据治理</w:t>
      </w:r>
      <w:r>
        <w:rPr>
          <w:rFonts w:ascii="Microsoft YaHei" w:hAnsi="Microsoft YaHei" w:eastAsia="Microsoft YaHei" w:cs="Microsoft YaHei"/>
          <w:sz w:val="18"/>
          <w:szCs w:val="18"/>
          <w:color w:val="D9D9D9"/>
          <w:spacing w:val="48"/>
          <w:w w:val="101"/>
        </w:rPr>
        <w:t xml:space="preserve"> </w:t>
      </w:r>
      <w:r>
        <w:rPr>
          <w:rFonts w:ascii="Microsoft YaHei" w:hAnsi="Microsoft YaHei" w:eastAsia="Microsoft YaHei" w:cs="Microsoft YaHei"/>
          <w:sz w:val="18"/>
          <w:szCs w:val="18"/>
          <w:color w:val="4B4C4D"/>
          <w:spacing w:val="2"/>
        </w:rPr>
        <w:t>理论、方法与实践</w:t>
      </w:r>
    </w:p>
    <w:p>
      <w:pPr>
        <w:spacing w:line="297" w:lineRule="auto"/>
        <w:rPr>
          <w:rFonts w:ascii="Arial"/>
          <w:sz w:val="21"/>
        </w:rPr>
      </w:pPr>
      <w:r/>
    </w:p>
    <w:p>
      <w:pPr>
        <w:ind w:left="594"/>
        <w:spacing w:before="98" w:line="192" w:lineRule="auto"/>
        <w:rPr>
          <w:sz w:val="23"/>
          <w:szCs w:val="23"/>
        </w:rPr>
      </w:pPr>
      <w:r>
        <w:rPr>
          <w:rFonts w:ascii="Arial" w:hAnsi="Arial" w:eastAsia="Arial" w:cs="Arial"/>
          <w:sz w:val="23"/>
          <w:szCs w:val="23"/>
          <w:color w:val="231F20"/>
          <w:spacing w:val="-2"/>
        </w:rPr>
        <w:t>1.1.2</w:t>
      </w:r>
      <w:r>
        <w:rPr>
          <w:rFonts w:ascii="Arial" w:hAnsi="Arial" w:eastAsia="Arial" w:cs="Arial"/>
          <w:sz w:val="23"/>
          <w:szCs w:val="23"/>
          <w:color w:val="231F20"/>
          <w:spacing w:val="17"/>
        </w:rPr>
        <w:t xml:space="preserve">   </w:t>
      </w:r>
      <w:r>
        <w:rPr>
          <w:rFonts w:ascii="Microsoft YaHei" w:hAnsi="Microsoft YaHei" w:eastAsia="Microsoft YaHei" w:cs="Microsoft YaHei"/>
          <w:sz w:val="23"/>
          <w:szCs w:val="23"/>
          <w:color w:val="231F20"/>
          <w:spacing w:val="-2"/>
        </w:rPr>
        <w:t>数据作为新型生产要素的主要特征</w:t>
      </w:r>
      <w:r>
        <w:rPr>
          <w:rFonts w:ascii="Microsoft YaHei" w:hAnsi="Microsoft YaHei" w:eastAsia="Microsoft YaHei" w:cs="Microsoft YaHei"/>
          <w:sz w:val="23"/>
          <w:szCs w:val="23"/>
          <w:color w:val="231F20"/>
          <w:spacing w:val="-49"/>
        </w:rPr>
        <w:t xml:space="preserve"> </w:t>
      </w:r>
      <w:r>
        <w:rPr>
          <w:sz w:val="23"/>
          <w:szCs w:val="23"/>
          <w:position w:val="-9"/>
        </w:rPr>
        <w:drawing>
          <wp:inline distT="0" distB="0" distL="0" distR="0">
            <wp:extent cx="70198" cy="187197"/>
            <wp:effectExtent l="0" t="0" r="0" b="0"/>
            <wp:docPr id="42" name="IM 42"/>
            <wp:cNvGraphicFramePr/>
            <a:graphic>
              <a:graphicData uri="http://schemas.openxmlformats.org/drawingml/2006/picture">
                <pic:pic>
                  <pic:nvPicPr>
                    <pic:cNvPr id="42" name="IM 42"/>
                    <pic:cNvPicPr/>
                  </pic:nvPicPr>
                  <pic:blipFill>
                    <a:blip r:embed="rId25"/>
                    <a:stretch>
                      <a:fillRect/>
                    </a:stretch>
                  </pic:blipFill>
                  <pic:spPr>
                    <a:xfrm rot="0">
                      <a:off x="0" y="0"/>
                      <a:ext cx="70198" cy="187197"/>
                    </a:xfrm>
                    <a:prstGeom prst="rect">
                      <a:avLst/>
                    </a:prstGeom>
                  </pic:spPr>
                </pic:pic>
              </a:graphicData>
            </a:graphic>
          </wp:inline>
        </w:drawing>
      </w:r>
    </w:p>
    <w:p>
      <w:pPr>
        <w:pStyle w:val="BodyText"/>
        <w:ind w:left="1019"/>
        <w:spacing w:before="178" w:line="220" w:lineRule="auto"/>
        <w:rPr/>
      </w:pPr>
      <w:r>
        <w:pict>
          <v:shape id="_x0000_s28" style="position:absolute;margin-left:71.032pt;margin-top:9.35626pt;mso-position-vertical-relative:text;mso-position-horizontal-relative:text;width:93.8pt;height:9.75pt;z-index:-251634688;" filled="false" strokecolor="#231F20" strokeweight="0.17pt" coordsize="1876,195" coordorigin="0,0" path="m108,187l108,173l164,173l164,191l175,184c175,172,174,155,174,133l181,128l169,118l163,125l141,125l141,92l192,92l178,78l169,87l141,87l141,70l148,65l130,57c131,67,131,77,131,87l93,87c94,74,95,62,95,52l164,52l164,62l175,57c175,49,174,37,174,21l181,17l169,6l163,13l96,13l83,5c84,17,84,36,84,62c83,89,80,112,74,132c68,152,58,170,46,186l49,188c74,163,88,131,92,92l131,92l131,125l108,125l96,119c97,129,97,141,97,154c97,168,97,180,96,192l108,187xm164,47l95,47l95,18l164,18l164,47xm164,169l108,169l108,130l164,130l164,169xm49,54l81,54l68,40l58,49l49,49l49,17l55,11l36,1c37,11,37,26,37,49l2,49l9,55l18,54l37,54l37,96c16,106,4,111,1,112l13,127c14,123,22,116,37,105l37,164c37,167,36,170,33,170c30,170,22,169,10,167l10,170c25,176,32,182,31,187c42,183,48,176,49,166l49,100l77,78l76,75l49,91l49,54xm1794,45l1762,45l1762,20l1794,20l1794,45xm1751,80l1722,80l1722,50l1751,50l1751,80xm1794,80l1762,80l1762,50l1794,50l1794,80xm1834,80l1805,80l1805,50l1834,50l1834,80xm1698,23c1704,21,1710,20,1716,20l1751,20l1751,45l1724,45l1711,38c1711,47,1712,57,1712,66c1712,76,1711,86,1711,96l1722,91l1722,85l1834,85l1834,94l1845,88c1845,81,1844,68,1844,51l1851,45l1838,36l1832,45l1805,45l1805,20l1868,20l1852,3l1839,15l1691,15l1698,23xm1808,118c1802,130,1795,140,1787,148c1768,145,1752,143,1740,141c1747,131,1753,123,1757,118l1808,118xm1746,113l1683,113l1690,120c1696,119,1701,118,1706,118l1744,118c1735,131,1729,140,1726,145c1742,147,1761,150,1780,155c1762,168,1730,179,1685,186l1686,189c1717,186,1740,182,1755,176c1770,171,1783,165,1793,159c1819,167,1836,175,1844,182c1852,188,1856,188,1856,181c1855,174,1851,168,1843,164c1835,161,1821,156,1799,151c1808,141,1815,130,1821,118l1873,118l1856,100l1842,113l1758,113c1762,108,1765,103,1767,100l1774,96l1757,87c1754,95,1751,104,1746,113e">
            <v:stroke joinstyle="miter" miterlimit="4"/>
          </v:shape>
        </w:pict>
      </w:r>
      <w:r>
        <w:rPr>
          <w:rFonts w:ascii="Times New Roman" w:hAnsi="Times New Roman" w:eastAsia="Times New Roman" w:cs="Times New Roman"/>
          <w:color w:val="231F20"/>
          <w:spacing w:val="-2"/>
        </w:rPr>
        <w:t>1. </w:t>
      </w:r>
      <w:r>
        <w:rPr>
          <w:color w:val="231F20"/>
          <w:spacing w:val="-2"/>
        </w:rPr>
        <w:t>数据是新型核心生产要素</w:t>
      </w:r>
    </w:p>
    <w:p>
      <w:pPr>
        <w:pStyle w:val="BodyText"/>
        <w:ind w:left="577" w:right="16" w:firstLine="427"/>
        <w:spacing w:before="73" w:line="272" w:lineRule="auto"/>
        <w:jc w:val="both"/>
        <w:rPr/>
      </w:pPr>
      <w:r>
        <w:rPr>
          <w:color w:val="231F20"/>
        </w:rPr>
        <w:t>人类社会已经从农业经济、工业经济进入到了信息经济时代，农业经济时代的核心生</w:t>
      </w:r>
      <w:r>
        <w:rPr>
          <w:color w:val="231F20"/>
          <w:spacing w:val="15"/>
        </w:rPr>
        <w:t xml:space="preserve"> </w:t>
      </w:r>
      <w:r>
        <w:rPr>
          <w:color w:val="231F20"/>
          <w:spacing w:val="-1"/>
        </w:rPr>
        <w:t>产要素是劳动力与土地，工业经济时代的核心生产要素是资本与技术，进入</w:t>
      </w:r>
      <w:r>
        <w:rPr>
          <w:color w:val="231F20"/>
          <w:spacing w:val="-35"/>
        </w:rPr>
        <w:t xml:space="preserve"> </w:t>
      </w:r>
      <w:r>
        <w:rPr>
          <w:rFonts w:ascii="Times New Roman" w:hAnsi="Times New Roman" w:eastAsia="Times New Roman" w:cs="Times New Roman"/>
          <w:color w:val="231F20"/>
          <w:spacing w:val="-1"/>
        </w:rPr>
        <w:t>21 </w:t>
      </w:r>
      <w:r>
        <w:rPr>
          <w:color w:val="231F20"/>
          <w:spacing w:val="-1"/>
        </w:rPr>
        <w:t>世纪以来，</w:t>
      </w:r>
      <w:r>
        <w:rPr>
          <w:color w:val="231F20"/>
        </w:rPr>
        <w:t xml:space="preserve"> </w:t>
      </w:r>
      <w:r>
        <w:rPr>
          <w:color w:val="231F20"/>
          <w:spacing w:val="1"/>
        </w:rPr>
        <w:t>以大数据、人工智能、区块链、量子计算等信息</w:t>
      </w:r>
      <w:r>
        <w:rPr>
          <w:color w:val="231F20"/>
        </w:rPr>
        <w:t>技术为标志的新一轮科技革命和产业变革 </w:t>
      </w:r>
      <w:r>
        <w:rPr>
          <w:color w:val="231F20"/>
        </w:rPr>
        <w:t>悄然而至，数据量和算力呈爆炸性增长，数据成为驱动经济社会发展的关键生产要</w:t>
      </w:r>
      <w:r>
        <w:rPr>
          <w:color w:val="231F20"/>
          <w:spacing w:val="-1"/>
        </w:rPr>
        <w:t>素。因 </w:t>
      </w:r>
      <w:r>
        <w:rPr>
          <w:color w:val="231F20"/>
          <w:spacing w:val="-2"/>
        </w:rPr>
        <w:t>此数字时代核心生产要素就是数据，如表</w:t>
      </w:r>
      <w:r>
        <w:rPr>
          <w:color w:val="231F20"/>
          <w:spacing w:val="-28"/>
        </w:rPr>
        <w:t xml:space="preserve"> </w:t>
      </w:r>
      <w:r>
        <w:rPr>
          <w:rFonts w:ascii="Times New Roman" w:hAnsi="Times New Roman" w:eastAsia="Times New Roman" w:cs="Times New Roman"/>
          <w:color w:val="231F20"/>
          <w:spacing w:val="-2"/>
        </w:rPr>
        <w:t>1.1 </w:t>
      </w:r>
      <w:r>
        <w:rPr>
          <w:color w:val="231F20"/>
          <w:spacing w:val="-2"/>
        </w:rPr>
        <w:t>所示。</w:t>
      </w:r>
    </w:p>
    <w:p>
      <w:pPr>
        <w:ind w:left="2578"/>
        <w:spacing w:before="160" w:line="239" w:lineRule="exact"/>
        <w:rPr>
          <w:rFonts w:ascii="SimHei" w:hAnsi="SimHei" w:eastAsia="SimHei" w:cs="SimHei"/>
          <w:sz w:val="18"/>
          <w:szCs w:val="18"/>
        </w:rPr>
      </w:pPr>
      <w:r>
        <w:rPr>
          <w:rFonts w:ascii="SimHei" w:hAnsi="SimHei" w:eastAsia="SimHei" w:cs="SimHei"/>
          <w:sz w:val="18"/>
          <w:szCs w:val="18"/>
          <w:color w:val="231F20"/>
          <w:spacing w:val="-2"/>
          <w:position w:val="1"/>
        </w:rPr>
        <w:t>表</w:t>
      </w:r>
      <w:r>
        <w:rPr>
          <w:rFonts w:ascii="SimHei" w:hAnsi="SimHei" w:eastAsia="SimHei" w:cs="SimHei"/>
          <w:sz w:val="18"/>
          <w:szCs w:val="18"/>
          <w:color w:val="231F20"/>
          <w:spacing w:val="-9"/>
          <w:position w:val="1"/>
        </w:rPr>
        <w:t xml:space="preserve"> </w:t>
      </w:r>
      <w:r>
        <w:rPr>
          <w:rFonts w:ascii="Arial" w:hAnsi="Arial" w:eastAsia="Arial" w:cs="Arial"/>
          <w:sz w:val="18"/>
          <w:szCs w:val="18"/>
          <w:color w:val="231F20"/>
          <w:spacing w:val="-2"/>
          <w:position w:val="1"/>
        </w:rPr>
        <w:t>1.1</w:t>
      </w:r>
      <w:r>
        <w:rPr>
          <w:rFonts w:ascii="Arial" w:hAnsi="Arial" w:eastAsia="Arial" w:cs="Arial"/>
          <w:sz w:val="18"/>
          <w:szCs w:val="18"/>
          <w:color w:val="231F20"/>
          <w:spacing w:val="12"/>
          <w:position w:val="1"/>
        </w:rPr>
        <w:t xml:space="preserve">   </w:t>
      </w:r>
      <w:r>
        <w:rPr>
          <w:rFonts w:ascii="SimHei" w:hAnsi="SimHei" w:eastAsia="SimHei" w:cs="SimHei"/>
          <w:sz w:val="18"/>
          <w:szCs w:val="18"/>
          <w:color w:val="231F20"/>
          <w:spacing w:val="-2"/>
          <w:position w:val="1"/>
        </w:rPr>
        <w:t>不同历史阶段生产要素变迁及代表人物</w:t>
      </w:r>
      <w:r>
        <w:rPr>
          <w:rFonts w:ascii="SimHei" w:hAnsi="SimHei" w:eastAsia="SimHei" w:cs="SimHei"/>
          <w:sz w:val="18"/>
          <w:szCs w:val="18"/>
          <w:color w:val="231F20"/>
          <w:spacing w:val="-45"/>
          <w:position w:val="1"/>
        </w:rPr>
        <w:t xml:space="preserve"> </w:t>
      </w:r>
      <w:r>
        <w:rPr>
          <w:rFonts w:ascii="Arial" w:hAnsi="Arial" w:eastAsia="Arial" w:cs="Arial"/>
          <w:sz w:val="18"/>
          <w:szCs w:val="18"/>
          <w:color w:val="231F20"/>
          <w:spacing w:val="-2"/>
          <w:position w:val="1"/>
        </w:rPr>
        <w:t>/ </w:t>
      </w:r>
      <w:r>
        <w:rPr>
          <w:rFonts w:ascii="SimHei" w:hAnsi="SimHei" w:eastAsia="SimHei" w:cs="SimHei"/>
          <w:sz w:val="18"/>
          <w:szCs w:val="18"/>
          <w:color w:val="231F20"/>
          <w:spacing w:val="-2"/>
          <w:position w:val="1"/>
        </w:rPr>
        <w:t>事件</w:t>
      </w:r>
    </w:p>
    <w:p>
      <w:pPr>
        <w:spacing w:line="137" w:lineRule="exact"/>
        <w:rPr/>
      </w:pPr>
      <w:r/>
    </w:p>
    <w:tbl>
      <w:tblPr>
        <w:tblStyle w:val="TableNormal"/>
        <w:tblW w:w="8222" w:type="dxa"/>
        <w:tblInd w:w="577" w:type="dxa"/>
        <w:tblLayout w:type="fixed"/>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
      <w:tblGrid>
        <w:gridCol w:w="916"/>
        <w:gridCol w:w="1626"/>
        <w:gridCol w:w="2500"/>
        <w:gridCol w:w="3180"/>
      </w:tblGrid>
      <w:tr>
        <w:trPr>
          <w:trHeight w:val="331" w:hRule="atLeast"/>
        </w:trPr>
        <w:tc>
          <w:tcPr>
            <w:tcW w:w="2542" w:type="dxa"/>
            <w:vAlign w:val="top"/>
            <w:gridSpan w:val="2"/>
            <w:tcBorders>
              <w:left w:val="single" w:color="231F20" w:sz="6" w:space="0"/>
              <w:top w:val="single" w:color="231F20" w:sz="6" w:space="0"/>
            </w:tcBorders>
          </w:tcPr>
          <w:p>
            <w:pPr>
              <w:ind w:left="908"/>
              <w:spacing w:before="66" w:line="242" w:lineRule="auto"/>
              <w:rPr>
                <w:rFonts w:ascii="SimHei" w:hAnsi="SimHei" w:eastAsia="SimHei" w:cs="SimHei"/>
                <w:sz w:val="18"/>
                <w:szCs w:val="18"/>
              </w:rPr>
            </w:pPr>
            <w:r>
              <w:rPr>
                <w:rFonts w:ascii="SimHei" w:hAnsi="SimHei" w:eastAsia="SimHei" w:cs="SimHei"/>
                <w:sz w:val="18"/>
                <w:szCs w:val="18"/>
                <w:color w:val="231F20"/>
                <w:spacing w:val="-2"/>
              </w:rPr>
              <w:t>历史阶段</w:t>
            </w:r>
          </w:p>
        </w:tc>
        <w:tc>
          <w:tcPr>
            <w:tcW w:w="2500" w:type="dxa"/>
            <w:vAlign w:val="top"/>
            <w:tcBorders>
              <w:top w:val="single" w:color="231F20" w:sz="6" w:space="0"/>
            </w:tcBorders>
          </w:tcPr>
          <w:p>
            <w:pPr>
              <w:ind w:left="900"/>
              <w:spacing w:before="66" w:line="237" w:lineRule="exact"/>
              <w:rPr>
                <w:rFonts w:ascii="SimHei" w:hAnsi="SimHei" w:eastAsia="SimHei" w:cs="SimHei"/>
                <w:sz w:val="18"/>
                <w:szCs w:val="18"/>
              </w:rPr>
            </w:pPr>
            <w:r>
              <w:rPr>
                <w:rFonts w:ascii="SimHei" w:hAnsi="SimHei" w:eastAsia="SimHei" w:cs="SimHei"/>
                <w:sz w:val="18"/>
                <w:szCs w:val="18"/>
                <w:color w:val="231F20"/>
                <w:spacing w:val="-3"/>
                <w:position w:val="1"/>
              </w:rPr>
              <w:t>生产要素</w:t>
            </w:r>
          </w:p>
        </w:tc>
        <w:tc>
          <w:tcPr>
            <w:tcW w:w="3180" w:type="dxa"/>
            <w:vAlign w:val="top"/>
            <w:tcBorders>
              <w:right w:val="single" w:color="231F20" w:sz="6" w:space="0"/>
              <w:top w:val="single" w:color="231F20" w:sz="6" w:space="0"/>
            </w:tcBorders>
          </w:tcPr>
          <w:p>
            <w:pPr>
              <w:ind w:left="984"/>
              <w:spacing w:before="47" w:line="239" w:lineRule="exact"/>
              <w:rPr>
                <w:rFonts w:ascii="SimHei" w:hAnsi="SimHei" w:eastAsia="SimHei" w:cs="SimHei"/>
                <w:sz w:val="18"/>
                <w:szCs w:val="18"/>
              </w:rPr>
            </w:pPr>
            <w:r>
              <w:rPr>
                <w:rFonts w:ascii="SimHei" w:hAnsi="SimHei" w:eastAsia="SimHei" w:cs="SimHei"/>
                <w:sz w:val="18"/>
                <w:szCs w:val="18"/>
                <w:color w:val="231F20"/>
                <w:spacing w:val="-1"/>
                <w:position w:val="1"/>
              </w:rPr>
              <w:t>代表人物</w:t>
            </w:r>
            <w:r>
              <w:rPr>
                <w:rFonts w:ascii="SimHei" w:hAnsi="SimHei" w:eastAsia="SimHei" w:cs="SimHei"/>
                <w:sz w:val="18"/>
                <w:szCs w:val="18"/>
                <w:color w:val="231F20"/>
                <w:spacing w:val="-45"/>
                <w:position w:val="1"/>
              </w:rPr>
              <w:t xml:space="preserve"> </w:t>
            </w:r>
            <w:r>
              <w:rPr>
                <w:rFonts w:ascii="Arial" w:hAnsi="Arial" w:eastAsia="Arial" w:cs="Arial"/>
                <w:sz w:val="18"/>
                <w:szCs w:val="18"/>
                <w:color w:val="231F20"/>
                <w:spacing w:val="-1"/>
                <w:position w:val="1"/>
              </w:rPr>
              <w:t>/ </w:t>
            </w:r>
            <w:r>
              <w:rPr>
                <w:rFonts w:ascii="SimHei" w:hAnsi="SimHei" w:eastAsia="SimHei" w:cs="SimHei"/>
                <w:sz w:val="18"/>
                <w:szCs w:val="18"/>
                <w:color w:val="231F20"/>
                <w:spacing w:val="-1"/>
                <w:position w:val="1"/>
              </w:rPr>
              <w:t>事件</w:t>
            </w:r>
          </w:p>
        </w:tc>
      </w:tr>
      <w:tr>
        <w:trPr>
          <w:trHeight w:val="333" w:hRule="atLeast"/>
        </w:trPr>
        <w:tc>
          <w:tcPr>
            <w:tcW w:w="2542" w:type="dxa"/>
            <w:vAlign w:val="top"/>
            <w:gridSpan w:val="2"/>
            <w:tcBorders>
              <w:left w:val="single" w:color="231F20" w:sz="6" w:space="0"/>
            </w:tcBorders>
          </w:tcPr>
          <w:p>
            <w:pPr>
              <w:pStyle w:val="TableText"/>
              <w:ind w:left="909"/>
              <w:spacing w:before="78" w:line="220" w:lineRule="auto"/>
              <w:rPr/>
            </w:pPr>
            <w:r>
              <w:rPr>
                <w:color w:val="231F20"/>
                <w:spacing w:val="-2"/>
              </w:rPr>
              <w:t>农业时代</w:t>
            </w:r>
          </w:p>
        </w:tc>
        <w:tc>
          <w:tcPr>
            <w:tcW w:w="2500" w:type="dxa"/>
            <w:vAlign w:val="top"/>
          </w:tcPr>
          <w:p>
            <w:pPr>
              <w:pStyle w:val="TableText"/>
              <w:ind w:left="59"/>
              <w:spacing w:before="78" w:line="220" w:lineRule="auto"/>
              <w:rPr/>
            </w:pPr>
            <w:r>
              <w:rPr>
                <w:color w:val="231F20"/>
                <w:spacing w:val="-2"/>
              </w:rPr>
              <w:t>土地、劳动</w:t>
            </w:r>
          </w:p>
        </w:tc>
        <w:tc>
          <w:tcPr>
            <w:tcW w:w="3180" w:type="dxa"/>
            <w:vAlign w:val="top"/>
            <w:tcBorders>
              <w:right w:val="single" w:color="231F20" w:sz="6" w:space="0"/>
            </w:tcBorders>
          </w:tcPr>
          <w:p>
            <w:pPr>
              <w:pStyle w:val="TableText"/>
              <w:ind w:left="62"/>
              <w:spacing w:before="78" w:line="220" w:lineRule="auto"/>
              <w:rPr/>
            </w:pPr>
            <w:r>
              <w:rPr>
                <w:color w:val="231F20"/>
                <w:spacing w:val="-1"/>
              </w:rPr>
              <w:t>威廉·配第，欧根·冯·庞巴维克</w:t>
            </w:r>
          </w:p>
        </w:tc>
      </w:tr>
      <w:tr>
        <w:trPr>
          <w:trHeight w:val="545" w:hRule="atLeast"/>
        </w:trPr>
        <w:tc>
          <w:tcPr>
            <w:tcW w:w="916" w:type="dxa"/>
            <w:vAlign w:val="top"/>
            <w:vMerge w:val="restart"/>
            <w:tcBorders>
              <w:left w:val="single" w:color="231F20" w:sz="6" w:space="0"/>
              <w:bottom w:val="nil"/>
            </w:tcBorders>
          </w:tcPr>
          <w:p>
            <w:pPr>
              <w:spacing w:line="296" w:lineRule="auto"/>
              <w:rPr>
                <w:rFonts w:ascii="Arial"/>
                <w:sz w:val="21"/>
              </w:rPr>
            </w:pPr>
            <w:r/>
          </w:p>
          <w:p>
            <w:pPr>
              <w:pStyle w:val="TableText"/>
              <w:ind w:left="97"/>
              <w:spacing w:before="59" w:line="220" w:lineRule="auto"/>
              <w:rPr/>
            </w:pPr>
            <w:r>
              <w:rPr>
                <w:color w:val="231F20"/>
                <w:spacing w:val="-2"/>
              </w:rPr>
              <w:t>工业时代</w:t>
            </w:r>
          </w:p>
        </w:tc>
        <w:tc>
          <w:tcPr>
            <w:tcW w:w="1626" w:type="dxa"/>
            <w:vAlign w:val="top"/>
          </w:tcPr>
          <w:p>
            <w:pPr>
              <w:pStyle w:val="TableText"/>
              <w:ind w:left="183"/>
              <w:spacing w:before="186" w:line="220" w:lineRule="auto"/>
              <w:rPr/>
            </w:pPr>
            <w:r>
              <w:rPr>
                <w:color w:val="231F20"/>
                <w:spacing w:val="-2"/>
              </w:rPr>
              <w:t>第一次工业革命</w:t>
            </w:r>
          </w:p>
        </w:tc>
        <w:tc>
          <w:tcPr>
            <w:tcW w:w="2500" w:type="dxa"/>
            <w:vAlign w:val="top"/>
          </w:tcPr>
          <w:p>
            <w:pPr>
              <w:pStyle w:val="TableText"/>
              <w:ind w:left="59"/>
              <w:spacing w:before="186" w:line="220" w:lineRule="auto"/>
              <w:rPr/>
            </w:pPr>
            <w:r>
              <w:rPr>
                <w:color w:val="231F20"/>
                <w:spacing w:val="-1"/>
              </w:rPr>
              <w:t>土地、劳动、资本</w:t>
            </w:r>
          </w:p>
        </w:tc>
        <w:tc>
          <w:tcPr>
            <w:tcW w:w="3180" w:type="dxa"/>
            <w:vAlign w:val="top"/>
            <w:tcBorders>
              <w:right w:val="single" w:color="231F20" w:sz="6" w:space="0"/>
            </w:tcBorders>
          </w:tcPr>
          <w:p>
            <w:pPr>
              <w:pStyle w:val="TableText"/>
              <w:ind w:left="64" w:right="65"/>
              <w:spacing w:before="56" w:line="243" w:lineRule="auto"/>
              <w:rPr/>
            </w:pPr>
            <w:r>
              <w:rPr>
                <w:color w:val="231F20"/>
                <w:spacing w:val="-2"/>
              </w:rPr>
              <w:t>亚当·斯密，让·巴蒂斯特·萨伊，约</w:t>
            </w:r>
            <w:r>
              <w:rPr>
                <w:color w:val="231F20"/>
                <w:spacing w:val="12"/>
              </w:rPr>
              <w:t xml:space="preserve"> </w:t>
            </w:r>
            <w:r>
              <w:rPr>
                <w:color w:val="231F20"/>
                <w:spacing w:val="-3"/>
              </w:rPr>
              <w:t>翰·穆勒</w:t>
            </w:r>
          </w:p>
        </w:tc>
      </w:tr>
      <w:tr>
        <w:trPr>
          <w:trHeight w:val="333" w:hRule="atLeast"/>
        </w:trPr>
        <w:tc>
          <w:tcPr>
            <w:tcW w:w="916" w:type="dxa"/>
            <w:vAlign w:val="top"/>
            <w:vMerge w:val="continue"/>
            <w:tcBorders>
              <w:left w:val="single" w:color="231F20" w:sz="6" w:space="0"/>
              <w:top w:val="nil"/>
            </w:tcBorders>
          </w:tcPr>
          <w:p>
            <w:pPr>
              <w:rPr>
                <w:rFonts w:ascii="Arial"/>
                <w:sz w:val="21"/>
              </w:rPr>
            </w:pPr>
            <w:r/>
          </w:p>
        </w:tc>
        <w:tc>
          <w:tcPr>
            <w:tcW w:w="1626" w:type="dxa"/>
            <w:vAlign w:val="top"/>
          </w:tcPr>
          <w:p>
            <w:pPr>
              <w:pStyle w:val="TableText"/>
              <w:ind w:left="183"/>
              <w:spacing w:before="83" w:line="220" w:lineRule="auto"/>
              <w:rPr/>
            </w:pPr>
            <w:r>
              <w:rPr>
                <w:color w:val="231F20"/>
                <w:spacing w:val="-1"/>
              </w:rPr>
              <w:t>第二次工业革命</w:t>
            </w:r>
          </w:p>
        </w:tc>
        <w:tc>
          <w:tcPr>
            <w:tcW w:w="2500" w:type="dxa"/>
            <w:vAlign w:val="top"/>
          </w:tcPr>
          <w:p>
            <w:pPr>
              <w:pStyle w:val="TableText"/>
              <w:ind w:left="59"/>
              <w:spacing w:before="82" w:line="220" w:lineRule="auto"/>
              <w:rPr/>
            </w:pPr>
            <w:r>
              <w:rPr>
                <w:color w:val="231F20"/>
                <w:spacing w:val="-1"/>
              </w:rPr>
              <w:t>土地、劳动、资本、组织</w:t>
            </w:r>
          </w:p>
        </w:tc>
        <w:tc>
          <w:tcPr>
            <w:tcW w:w="3180" w:type="dxa"/>
            <w:vAlign w:val="top"/>
            <w:tcBorders>
              <w:right w:val="single" w:color="231F20" w:sz="6" w:space="0"/>
            </w:tcBorders>
          </w:tcPr>
          <w:p>
            <w:pPr>
              <w:pStyle w:val="TableText"/>
              <w:ind w:left="71"/>
              <w:spacing w:before="83" w:line="220" w:lineRule="auto"/>
              <w:rPr/>
            </w:pPr>
            <w:r>
              <w:rPr>
                <w:color w:val="231F20"/>
                <w:spacing w:val="-2"/>
              </w:rPr>
              <w:t>阿尔弗雷德·马歇尔</w:t>
            </w:r>
          </w:p>
        </w:tc>
      </w:tr>
      <w:tr>
        <w:trPr>
          <w:trHeight w:val="812" w:hRule="atLeast"/>
        </w:trPr>
        <w:tc>
          <w:tcPr>
            <w:tcW w:w="2542" w:type="dxa"/>
            <w:vAlign w:val="top"/>
            <w:gridSpan w:val="2"/>
            <w:tcBorders>
              <w:left w:val="single" w:color="231F20" w:sz="6" w:space="0"/>
              <w:bottom w:val="single" w:color="231F20" w:sz="6" w:space="0"/>
            </w:tcBorders>
          </w:tcPr>
          <w:p>
            <w:pPr>
              <w:spacing w:line="262" w:lineRule="auto"/>
              <w:rPr>
                <w:rFonts w:ascii="Arial"/>
                <w:sz w:val="21"/>
              </w:rPr>
            </w:pPr>
            <w:r/>
          </w:p>
          <w:p>
            <w:pPr>
              <w:pStyle w:val="TableText"/>
              <w:ind w:left="911"/>
              <w:spacing w:before="58" w:line="220" w:lineRule="auto"/>
              <w:rPr/>
            </w:pPr>
            <w:r>
              <w:rPr>
                <w:color w:val="231F20"/>
                <w:spacing w:val="-2"/>
              </w:rPr>
              <w:t>数字时代</w:t>
            </w:r>
          </w:p>
        </w:tc>
        <w:tc>
          <w:tcPr>
            <w:tcW w:w="2500" w:type="dxa"/>
            <w:vAlign w:val="top"/>
            <w:tcBorders>
              <w:bottom w:val="single" w:color="231F20" w:sz="6" w:space="0"/>
            </w:tcBorders>
          </w:tcPr>
          <w:p>
            <w:pPr>
              <w:pStyle w:val="TableText"/>
              <w:ind w:left="59" w:right="60"/>
              <w:spacing w:before="193" w:line="243" w:lineRule="auto"/>
              <w:rPr/>
            </w:pPr>
            <w:r>
              <w:rPr>
                <w:color w:val="231F20"/>
                <w:spacing w:val="2"/>
              </w:rPr>
              <w:t>土地、劳动、资本、知识、技</w:t>
            </w:r>
            <w:r>
              <w:rPr>
                <w:color w:val="231F20"/>
                <w:spacing w:val="7"/>
              </w:rPr>
              <w:t xml:space="preserve"> </w:t>
            </w:r>
            <w:r>
              <w:rPr>
                <w:color w:val="231F20"/>
                <w:spacing w:val="-2"/>
              </w:rPr>
              <w:t>术、管理、数据</w:t>
            </w:r>
          </w:p>
        </w:tc>
        <w:tc>
          <w:tcPr>
            <w:tcW w:w="3180" w:type="dxa"/>
            <w:vAlign w:val="top"/>
            <w:tcBorders>
              <w:bottom w:val="single" w:color="231F20" w:sz="6" w:space="0"/>
              <w:right w:val="single" w:color="231F20" w:sz="6" w:space="0"/>
            </w:tcBorders>
          </w:tcPr>
          <w:p>
            <w:pPr>
              <w:pStyle w:val="TableText"/>
              <w:ind w:left="86" w:right="50" w:hanging="87"/>
              <w:spacing w:before="61" w:line="251" w:lineRule="auto"/>
              <w:jc w:val="both"/>
              <w:rPr/>
            </w:pPr>
            <w:r>
              <w:rPr>
                <w:color w:val="231F20"/>
                <w:spacing w:val="3"/>
              </w:rPr>
              <w:t>《中共中央关于坚持和完善中国特色社</w:t>
            </w:r>
            <w:r>
              <w:rPr>
                <w:color w:val="231F20"/>
                <w:spacing w:val="1"/>
              </w:rPr>
              <w:t xml:space="preserve"> </w:t>
            </w:r>
            <w:r>
              <w:rPr>
                <w:color w:val="231F20"/>
                <w:spacing w:val="-2"/>
              </w:rPr>
              <w:t>会主义制度推进国家治理体系和治理能</w:t>
            </w:r>
            <w:r>
              <w:rPr>
                <w:color w:val="231F20"/>
                <w:spacing w:val="4"/>
              </w:rPr>
              <w:t xml:space="preserve"> </w:t>
            </w:r>
            <w:r>
              <w:rPr>
                <w:color w:val="231F20"/>
                <w:spacing w:val="-3"/>
              </w:rPr>
              <w:t>力现代化若干重大问题的决定》</w:t>
            </w:r>
          </w:p>
        </w:tc>
      </w:tr>
    </w:tbl>
    <w:p>
      <w:pPr>
        <w:pStyle w:val="BodyText"/>
        <w:ind w:left="473" w:right="76" w:firstLine="531"/>
        <w:spacing w:before="228" w:line="280" w:lineRule="auto"/>
        <w:rPr/>
      </w:pPr>
      <w:r>
        <w:rPr>
          <w:color w:val="231F20"/>
          <w:spacing w:val="6"/>
        </w:rPr>
        <w:t>数据在数字经济发展过程中具有关键作用，对传统生产要素也产生了深刻影</w:t>
      </w:r>
      <w:r>
        <w:rPr>
          <w:color w:val="231F20"/>
          <w:spacing w:val="5"/>
        </w:rPr>
        <w:t>响，展</w:t>
      </w:r>
      <w:r>
        <w:rPr>
          <w:color w:val="231F20"/>
        </w:rPr>
        <w:t xml:space="preserve"> </w:t>
      </w:r>
      <w:r>
        <w:rPr>
          <w:color w:val="231F20"/>
          <w:spacing w:val="3"/>
        </w:rPr>
        <w:t>现着其巨大的价值和潜能。作为生产要素的数据，其本身虽然不能被直接用于生产</w:t>
      </w:r>
      <w:r>
        <w:rPr>
          <w:color w:val="231F20"/>
          <w:spacing w:val="2"/>
        </w:rPr>
        <w:t>经济物</w:t>
      </w:r>
      <w:r>
        <w:rPr>
          <w:color w:val="231F20"/>
        </w:rPr>
        <w:t xml:space="preserve"> </w:t>
      </w:r>
      <w:r>
        <w:rPr>
          <w:color w:val="231F20"/>
          <w:spacing w:val="3"/>
        </w:rPr>
        <w:t>品，但是能在生产过程中发挥作用，如创造新的知识或者形成未来的预测，进而指</w:t>
      </w:r>
      <w:r>
        <w:rPr>
          <w:color w:val="231F20"/>
          <w:spacing w:val="2"/>
        </w:rPr>
        <w:t>导经济</w:t>
      </w:r>
      <w:r>
        <w:rPr>
          <w:color w:val="231F20"/>
        </w:rPr>
        <w:t xml:space="preserve"> </w:t>
      </w:r>
      <w:r>
        <w:rPr>
          <w:color w:val="231F20"/>
          <w:spacing w:val="3"/>
        </w:rPr>
        <w:t>物品的生产。</w:t>
      </w:r>
      <w:r>
        <w:rPr>
          <w:rFonts w:ascii="Times New Roman" w:hAnsi="Times New Roman" w:eastAsia="Times New Roman" w:cs="Times New Roman"/>
          <w:color w:val="231F20"/>
          <w:spacing w:val="3"/>
        </w:rPr>
        <w:t>2019 </w:t>
      </w:r>
      <w:r>
        <w:rPr>
          <w:color w:val="231F20"/>
          <w:spacing w:val="3"/>
        </w:rPr>
        <w:t>年</w:t>
      </w:r>
      <w:r>
        <w:rPr>
          <w:color w:val="231F20"/>
          <w:spacing w:val="-21"/>
        </w:rPr>
        <w:t xml:space="preserve"> </w:t>
      </w:r>
      <w:r>
        <w:rPr>
          <w:rFonts w:ascii="Times New Roman" w:hAnsi="Times New Roman" w:eastAsia="Times New Roman" w:cs="Times New Roman"/>
          <w:color w:val="231F20"/>
          <w:spacing w:val="3"/>
        </w:rPr>
        <w:t>10 </w:t>
      </w:r>
      <w:r>
        <w:rPr>
          <w:color w:val="231F20"/>
          <w:spacing w:val="3"/>
        </w:rPr>
        <w:t>月，中国共产党第十九届中央委员会第四次全体会议审议通过的</w:t>
      </w:r>
      <w:r>
        <w:rPr>
          <w:color w:val="231F20"/>
        </w:rPr>
        <w:t xml:space="preserve"> </w:t>
      </w:r>
      <w:r>
        <w:rPr>
          <w:color w:val="231F20"/>
          <w:spacing w:val="3"/>
        </w:rPr>
        <w:t>《中共中央关于坚持和完善中国特色社会主义制度推进国家治理体系和治理能力现</w:t>
      </w:r>
      <w:r>
        <w:rPr>
          <w:color w:val="231F20"/>
          <w:spacing w:val="2"/>
        </w:rPr>
        <w:t>代化若</w:t>
      </w:r>
      <w:r>
        <w:rPr>
          <w:color w:val="231F20"/>
        </w:rPr>
        <w:t xml:space="preserve"> </w:t>
      </w:r>
      <w:r>
        <w:rPr>
          <w:color w:val="231F20"/>
          <w:spacing w:val="3"/>
        </w:rPr>
        <w:t>干重大问题的决定》中提出，健全劳动、资本、土地、知识、技术、管理、数据等生产要</w:t>
      </w:r>
      <w:r>
        <w:rPr>
          <w:color w:val="231F20"/>
        </w:rPr>
        <w:t xml:space="preserve"> </w:t>
      </w:r>
      <w:r>
        <w:rPr>
          <w:color w:val="231F20"/>
          <w:spacing w:val="3"/>
        </w:rPr>
        <w:t>素由市场评价贡献、按贡献决定报酬的机制。这是国家层面首次提出数据可作为生产</w:t>
      </w:r>
      <w:r>
        <w:rPr>
          <w:color w:val="231F20"/>
          <w:spacing w:val="2"/>
        </w:rPr>
        <w:t>要素</w:t>
      </w:r>
      <w:r>
        <w:rPr>
          <w:color w:val="231F20"/>
        </w:rPr>
        <w:t xml:space="preserve"> </w:t>
      </w:r>
      <w:r>
        <w:rPr>
          <w:color w:val="231F20"/>
          <w:spacing w:val="3"/>
        </w:rPr>
        <w:t>按贡献参与分配，数据作为新生产要素从投入阶段贯穿到产出和分配阶段，数据资源</w:t>
      </w:r>
      <w:r>
        <w:rPr>
          <w:color w:val="231F20"/>
          <w:spacing w:val="2"/>
        </w:rPr>
        <w:t>的重</w:t>
      </w:r>
      <w:r>
        <w:rPr>
          <w:color w:val="231F20"/>
        </w:rPr>
        <w:t xml:space="preserve"> </w:t>
      </w:r>
      <w:r>
        <w:rPr>
          <w:color w:val="231F20"/>
          <w:spacing w:val="3"/>
        </w:rPr>
        <w:t>要地位得以确立。这反映了随着经济活动数字化转型不断深入，数据对提高生产效率的价</w:t>
      </w:r>
      <w:r>
        <w:rPr>
          <w:color w:val="231F20"/>
        </w:rPr>
        <w:t xml:space="preserve"> </w:t>
      </w:r>
      <w:r>
        <w:rPr>
          <w:color w:val="231F20"/>
          <w:spacing w:val="3"/>
        </w:rPr>
        <w:t>值与作用凸显，成为最具时代特征的新生产要素，标志着我国正式进入了数据红利进一步</w:t>
      </w:r>
      <w:r>
        <w:rPr>
          <w:color w:val="231F20"/>
          <w:spacing w:val="8"/>
        </w:rPr>
        <w:t xml:space="preserve"> </w:t>
      </w:r>
      <w:r>
        <w:rPr>
          <w:color w:val="231F20"/>
          <w:spacing w:val="3"/>
        </w:rPr>
        <w:t>释放的阶段，数据将作为生产要素参与到市场的投入、管理、产出、分配等</w:t>
      </w:r>
      <w:r>
        <w:rPr>
          <w:color w:val="231F20"/>
          <w:spacing w:val="2"/>
        </w:rPr>
        <w:t>各个阶段。随</w:t>
      </w:r>
      <w:r>
        <w:rPr>
          <w:color w:val="231F20"/>
        </w:rPr>
        <w:t xml:space="preserve"> </w:t>
      </w:r>
      <w:r>
        <w:rPr>
          <w:color w:val="231F20"/>
          <w:spacing w:val="3"/>
        </w:rPr>
        <w:t>着科学技术的创新与发展，新型数字技术不断涌现，数据作为要素是一个新命题，有大量</w:t>
      </w:r>
      <w:r>
        <w:rPr>
          <w:color w:val="231F20"/>
        </w:rPr>
        <w:t xml:space="preserve"> </w:t>
      </w:r>
      <w:r>
        <w:rPr>
          <w:color w:val="231F20"/>
          <w:spacing w:val="3"/>
        </w:rPr>
        <w:t>前沿问题需要研究。在数字经济全面推进的时代背景下，培育发展数据要素市场</w:t>
      </w:r>
      <w:r>
        <w:rPr>
          <w:color w:val="231F20"/>
          <w:spacing w:val="2"/>
        </w:rPr>
        <w:t>，更需要</w:t>
      </w:r>
      <w:r>
        <w:rPr>
          <w:color w:val="231F20"/>
        </w:rPr>
        <w:t xml:space="preserve"> </w:t>
      </w:r>
      <w:r>
        <w:rPr>
          <w:color w:val="231F20"/>
          <w:spacing w:val="3"/>
        </w:rPr>
        <w:t>充分发挥数据作为关键生产要素的价值。</w:t>
      </w:r>
    </w:p>
    <w:p>
      <w:pPr>
        <w:pStyle w:val="BodyText"/>
        <w:ind w:left="999"/>
        <w:spacing w:before="75" w:line="220" w:lineRule="auto"/>
        <w:rPr/>
      </w:pPr>
      <w:r>
        <w:pict>
          <v:shape id="_x0000_s30" style="position:absolute;margin-left:71.032pt;margin-top:4.0907pt;mso-position-vertical-relative:text;mso-position-horizontal-relative:text;width:188pt;height:9.85pt;z-index:-251633664;" filled="false" strokecolor="#231F20" strokeweight="0.17pt" coordsize="3760,197" coordorigin="0,0" path="m108,189l108,175l164,175l164,192l175,186c175,174,174,157,174,135l181,130l169,119l163,127l141,127l141,94l192,94l178,80l169,89l141,89l141,72l148,67l130,59c131,68,131,79,131,89l93,89c94,76,95,64,95,54l164,54l164,64l175,59c175,51,174,39,174,23l181,18l169,8l163,14l96,14l83,7c84,18,84,37,84,64c83,90,80,114,74,134c68,154,58,172,46,187l49,190c74,165,88,133,92,94l131,94l131,127l108,127l96,120c97,131,97,142,97,156c97,169,97,182,96,194l108,189xm164,49l95,49l95,19l164,19l164,49xm164,170l108,170l108,132l164,132l164,170xm49,55l81,55l68,41l58,50l49,50l49,18l55,13l36,3c37,12,37,28,37,50l2,50l9,57l18,55l37,55l37,97c16,108,4,113,1,114l13,128c14,125,22,118,37,107l37,165c37,169,36,171,33,171c30,172,22,171,10,169l10,172c25,178,32,184,31,189c42,185,48,178,49,168l49,101l77,80l76,77l49,92l49,55xm3643,101l3601,101l3601,49l3643,49l3643,101xm3643,164l3601,164l3601,106l3643,106l3643,164xm3662,48l3650,36l3642,44l3615,44c3624,25,3631,14,3637,11l3619,1c3618,11,3615,25,3610,44l3602,44l3589,36c3590,62,3590,87,3590,112c3590,138,3590,163,3589,189l3601,183l3601,169l3643,169l3643,186l3655,179c3654,160,3654,118,3654,54l3662,48xm3682,43c3676,57,3668,72,3657,90l3659,91c3670,81,3680,67,3690,51l3738,51c3737,113,3735,148,3734,157c3733,166,3729,171,3723,171c3717,171,3707,170,3693,167l3693,171c3709,175,3718,182,3721,191c3728,188,3734,185,3737,182c3741,178,3744,173,3746,164c3747,156,3749,119,3750,55l3757,50l3745,37l3736,46l3692,46c3701,27,3708,15,3712,13l3694,2c3692,16,3687,29,3682,43m3678,85c3685,95,3690,106,3692,117c3694,128,3697,131,3702,125c3706,120,3707,114,3704,107c3701,100,3693,92,3679,82l3678,85xe">
            <v:stroke joinstyle="miter" miterlimit="4"/>
          </v:shape>
        </w:pict>
      </w:r>
      <w:r>
        <w:rPr>
          <w:rFonts w:ascii="Times New Roman" w:hAnsi="Times New Roman" w:eastAsia="Times New Roman" w:cs="Times New Roman"/>
          <w:color w:val="231F20"/>
        </w:rPr>
        <w:t>2. </w:t>
      </w:r>
      <w:r>
        <w:rPr>
          <w:color w:val="231F20"/>
        </w:rPr>
        <w:t>数据生产要素与传统生产要素相比所具</w:t>
      </w:r>
      <w:r>
        <w:rPr>
          <w:color w:val="231F20"/>
          <w:spacing w:val="-1"/>
        </w:rPr>
        <w:t>有的不同特性</w:t>
      </w:r>
    </w:p>
    <w:p>
      <w:pPr>
        <w:pStyle w:val="BodyText"/>
        <w:ind w:left="578" w:firstLine="426"/>
        <w:spacing w:before="72" w:line="269" w:lineRule="auto"/>
        <w:rPr/>
      </w:pPr>
      <w:r>
        <w:rPr>
          <w:color w:val="231F20"/>
          <w:spacing w:val="6"/>
        </w:rPr>
        <w:t>数据要素呈现独特新特征。与土地、劳动力、管理、技</w:t>
      </w:r>
      <w:r>
        <w:rPr>
          <w:color w:val="231F20"/>
          <w:spacing w:val="5"/>
        </w:rPr>
        <w:t>术、资本等传统生产要素相</w:t>
      </w:r>
      <w:r>
        <w:rPr>
          <w:color w:val="231F20"/>
        </w:rPr>
        <w:t xml:space="preserve">  </w:t>
      </w:r>
      <w:r>
        <w:rPr>
          <w:color w:val="231F20"/>
          <w:spacing w:val="-3"/>
        </w:rPr>
        <w:t>比，数据无疑是生产要素大家庭的“新面孔”。数据生产要素超越了传统要素的基本属性、</w:t>
      </w:r>
      <w:r>
        <w:rPr>
          <w:color w:val="231F20"/>
          <w:spacing w:val="6"/>
        </w:rPr>
        <w:t xml:space="preserve"> </w:t>
      </w:r>
      <w:r>
        <w:rPr>
          <w:color w:val="231F20"/>
        </w:rPr>
        <w:t>作用形态和增值方式，一跃成为数字经济时代占据领先地位的战略资源，究其原因，主要</w:t>
      </w:r>
      <w:r>
        <w:rPr>
          <w:color w:val="231F20"/>
          <w:spacing w:val="4"/>
        </w:rPr>
        <w:t xml:space="preserve">  </w:t>
      </w:r>
      <w:r>
        <w:rPr>
          <w:color w:val="231F20"/>
          <w:spacing w:val="-1"/>
        </w:rPr>
        <w:t>是与传统生产要素相比，数据生产要素具有以下</w:t>
      </w:r>
      <w:r>
        <w:rPr>
          <w:color w:val="231F20"/>
          <w:spacing w:val="-2"/>
        </w:rPr>
        <w:t>几方面的不同特征。</w:t>
      </w:r>
    </w:p>
    <w:p>
      <w:pPr>
        <w:pStyle w:val="BodyText"/>
        <w:ind w:left="584" w:firstLine="319"/>
        <w:spacing w:before="75" w:line="252" w:lineRule="auto"/>
        <w:rPr/>
      </w:pPr>
      <w:r>
        <w:rPr>
          <w:color w:val="231F20"/>
        </w:rPr>
        <w:t>（</w:t>
      </w:r>
      <w:r>
        <w:rPr>
          <w:rFonts w:ascii="Times New Roman" w:hAnsi="Times New Roman" w:eastAsia="Times New Roman" w:cs="Times New Roman"/>
          <w:color w:val="231F20"/>
        </w:rPr>
        <w:t>1</w:t>
      </w:r>
      <w:r>
        <w:rPr>
          <w:color w:val="231F20"/>
        </w:rPr>
        <w:t>）数据生产要素具有虚拟性。数据生产要素是一种虚拟的、存在</w:t>
      </w:r>
      <w:r>
        <w:rPr>
          <w:color w:val="231F20"/>
          <w:spacing w:val="-1"/>
        </w:rPr>
        <w:t>于数据库与互联网</w:t>
      </w:r>
      <w:r>
        <w:rPr>
          <w:color w:val="231F20"/>
        </w:rPr>
        <w:t xml:space="preserve">  </w:t>
      </w:r>
      <w:r>
        <w:rPr>
          <w:color w:val="231F20"/>
          <w:spacing w:val="2"/>
        </w:rPr>
        <w:t>空间中的资源，目前大多数已有研究都将数据的虚拟性视为该生产要素的一项核心特征。</w:t>
      </w:r>
    </w:p>
    <w:p>
      <w:pPr>
        <w:spacing w:line="252" w:lineRule="auto"/>
        <w:sectPr>
          <w:footerReference w:type="default" r:id="rId21"/>
          <w:pgSz w:w="10489" w:h="14741"/>
          <w:pgMar w:top="482" w:right="1057" w:bottom="734" w:left="564" w:header="0" w:footer="551" w:gutter="0"/>
        </w:sectPr>
        <w:rPr/>
      </w:pPr>
    </w:p>
    <w:p>
      <w:pPr>
        <w:spacing w:before="41" w:line="204" w:lineRule="auto"/>
        <w:jc w:val="right"/>
        <w:rPr>
          <w:sz w:val="18"/>
          <w:szCs w:val="18"/>
        </w:rPr>
      </w:pPr>
      <w:r>
        <w:rPr>
          <w:rFonts w:ascii="Microsoft YaHei" w:hAnsi="Microsoft YaHei" w:eastAsia="Microsoft YaHei" w:cs="Microsoft YaHei"/>
          <w:sz w:val="18"/>
          <w:szCs w:val="18"/>
          <w:color w:val="4B4C4D"/>
          <w:spacing w:val="-2"/>
        </w:rPr>
        <w:t>第 </w:t>
      </w:r>
      <w:r>
        <w:rPr>
          <w:rFonts w:ascii="Arial" w:hAnsi="Arial" w:eastAsia="Arial" w:cs="Arial"/>
          <w:sz w:val="18"/>
          <w:szCs w:val="18"/>
          <w:b/>
          <w:bCs/>
          <w:color w:val="4B4C4D"/>
          <w:spacing w:val="-2"/>
        </w:rPr>
        <w:t>1 </w:t>
      </w:r>
      <w:r>
        <w:rPr>
          <w:rFonts w:ascii="Microsoft YaHei" w:hAnsi="Microsoft YaHei" w:eastAsia="Microsoft YaHei" w:cs="Microsoft YaHei"/>
          <w:sz w:val="18"/>
          <w:szCs w:val="18"/>
          <w:color w:val="4B4C4D"/>
          <w:spacing w:val="-2"/>
        </w:rPr>
        <w:t>章</w:t>
      </w:r>
      <w:r>
        <w:rPr>
          <w:rFonts w:ascii="Microsoft YaHei" w:hAnsi="Microsoft YaHei" w:eastAsia="Microsoft YaHei" w:cs="Microsoft YaHei"/>
          <w:sz w:val="18"/>
          <w:szCs w:val="18"/>
          <w:color w:val="4B4C4D"/>
          <w:spacing w:val="9"/>
        </w:rPr>
        <w:t xml:space="preserve">   </w:t>
      </w:r>
      <w:r>
        <w:rPr>
          <w:rFonts w:ascii="Microsoft YaHei" w:hAnsi="Microsoft YaHei" w:eastAsia="Microsoft YaHei" w:cs="Microsoft YaHei"/>
          <w:sz w:val="18"/>
          <w:szCs w:val="18"/>
          <w:color w:val="4B4C4D"/>
          <w:spacing w:val="-2"/>
        </w:rPr>
        <w:t>数据与数据治理  </w:t>
      </w:r>
      <w:r>
        <w:rPr>
          <w:sz w:val="18"/>
          <w:szCs w:val="18"/>
          <w:position w:val="-2"/>
        </w:rPr>
        <w:drawing>
          <wp:inline distT="0" distB="0" distL="0" distR="0">
            <wp:extent cx="339153" cy="105117"/>
            <wp:effectExtent l="0" t="0" r="0" b="0"/>
            <wp:docPr id="44" name="IM 44"/>
            <wp:cNvGraphicFramePr/>
            <a:graphic>
              <a:graphicData uri="http://schemas.openxmlformats.org/drawingml/2006/picture">
                <pic:pic>
                  <pic:nvPicPr>
                    <pic:cNvPr id="44" name="IM 44"/>
                    <pic:cNvPicPr/>
                  </pic:nvPicPr>
                  <pic:blipFill>
                    <a:blip r:embed="rId27"/>
                    <a:stretch>
                      <a:fillRect/>
                    </a:stretch>
                  </pic:blipFill>
                  <pic:spPr>
                    <a:xfrm rot="0">
                      <a:off x="0" y="0"/>
                      <a:ext cx="339153" cy="105117"/>
                    </a:xfrm>
                    <a:prstGeom prst="rect">
                      <a:avLst/>
                    </a:prstGeom>
                  </pic:spPr>
                </pic:pic>
              </a:graphicData>
            </a:graphic>
          </wp:inline>
        </w:drawing>
      </w:r>
    </w:p>
    <w:p>
      <w:pPr>
        <w:spacing w:line="305" w:lineRule="auto"/>
        <w:rPr>
          <w:rFonts w:ascii="Arial"/>
          <w:sz w:val="21"/>
        </w:rPr>
      </w:pPr>
      <w:r/>
    </w:p>
    <w:p>
      <w:pPr>
        <w:pStyle w:val="BodyText"/>
        <w:ind w:right="569" w:firstLine="1"/>
        <w:spacing w:before="69" w:line="272" w:lineRule="auto"/>
        <w:jc w:val="both"/>
        <w:rPr/>
      </w:pPr>
      <w:r>
        <w:rPr>
          <w:color w:val="231F20"/>
          <w:spacing w:val="2"/>
        </w:rPr>
        <w:t>虚拟性是数据与其他传统生产要素（如劳动力、资本和土地）的最主要差异，也是知识、</w:t>
      </w:r>
      <w:r>
        <w:rPr>
          <w:color w:val="231F20"/>
          <w:spacing w:val="17"/>
        </w:rPr>
        <w:t xml:space="preserve"> </w:t>
      </w:r>
      <w:r>
        <w:rPr>
          <w:color w:val="231F20"/>
        </w:rPr>
        <w:t>技术、管理和数据等新生产要素的主要特点。虚拟性的存在意味着数据必须以其他生产要</w:t>
      </w:r>
      <w:r>
        <w:rPr>
          <w:color w:val="231F20"/>
          <w:spacing w:val="5"/>
        </w:rPr>
        <w:t xml:space="preserve">  </w:t>
      </w:r>
      <w:r>
        <w:rPr>
          <w:color w:val="231F20"/>
        </w:rPr>
        <w:t>素作为载体才能发挥作用。在当前的技术条件下，数据在大多数时候存在于信息与通信技 </w:t>
      </w:r>
      <w:r>
        <w:rPr>
          <w:color w:val="231F20"/>
        </w:rPr>
        <w:t>术产品中，二者有效结合构成了全球经济增长的主要动力。对于数据等虚拟生产要素的依</w:t>
      </w:r>
      <w:r>
        <w:rPr>
          <w:color w:val="231F20"/>
          <w:spacing w:val="4"/>
        </w:rPr>
        <w:t xml:space="preserve">  </w:t>
      </w:r>
      <w:r>
        <w:rPr>
          <w:color w:val="231F20"/>
          <w:spacing w:val="-1"/>
        </w:rPr>
        <w:t>赖是数字经济的主要特点之一，也是数字经济与传统经济的</w:t>
      </w:r>
      <w:r>
        <w:rPr>
          <w:color w:val="231F20"/>
          <w:spacing w:val="-2"/>
        </w:rPr>
        <w:t>主要区别。</w:t>
      </w:r>
    </w:p>
    <w:p>
      <w:pPr>
        <w:pStyle w:val="BodyText"/>
        <w:ind w:right="654" w:firstLine="326"/>
        <w:spacing w:before="71" w:line="276" w:lineRule="auto"/>
        <w:jc w:val="both"/>
        <w:rPr/>
      </w:pPr>
      <w:r>
        <w:rPr>
          <w:color w:val="231F20"/>
        </w:rPr>
        <w:t>（</w:t>
      </w:r>
      <w:r>
        <w:rPr>
          <w:rFonts w:ascii="Times New Roman" w:hAnsi="Times New Roman" w:eastAsia="Times New Roman" w:cs="Times New Roman"/>
          <w:color w:val="231F20"/>
        </w:rPr>
        <w:t>2</w:t>
      </w:r>
      <w:r>
        <w:rPr>
          <w:color w:val="231F20"/>
        </w:rPr>
        <w:t>）数据要素具有非稀缺性。稀缺性是指资源因无法满足人类社会不断扩大的需求以 </w:t>
      </w:r>
      <w:r>
        <w:rPr>
          <w:color w:val="231F20"/>
        </w:rPr>
        <w:t>及无法实现空间上的均匀分布而呈现出的稀缺状态。然而对于知识、信息、数据等无形资</w:t>
      </w:r>
      <w:r>
        <w:rPr>
          <w:color w:val="231F20"/>
          <w:spacing w:val="5"/>
        </w:rPr>
        <w:t xml:space="preserve"> </w:t>
      </w:r>
      <w:r>
        <w:rPr>
          <w:color w:val="231F20"/>
        </w:rPr>
        <w:t>产来说，因其累积迅速且不占用空间而具有非稀缺性。数据要素的这种非稀缺性并非单纯</w:t>
      </w:r>
      <w:r>
        <w:rPr>
          <w:color w:val="231F20"/>
          <w:spacing w:val="12"/>
        </w:rPr>
        <w:t xml:space="preserve"> </w:t>
      </w:r>
      <w:r>
        <w:rPr>
          <w:color w:val="231F20"/>
        </w:rPr>
        <w:t>意味着数据无处不在、无时不在，而且具有两重特定含义：一方面，数据在共享过程中可</w:t>
      </w:r>
      <w:r>
        <w:rPr>
          <w:color w:val="231F20"/>
          <w:spacing w:val="11"/>
        </w:rPr>
        <w:t xml:space="preserve"> </w:t>
      </w:r>
      <w:r>
        <w:rPr>
          <w:color w:val="231F20"/>
        </w:rPr>
        <w:t>以实现指数级增长，数据传播链条越长，数量便如滚雪球般急剧增长；另一方面，数据在</w:t>
      </w:r>
      <w:r>
        <w:rPr>
          <w:color w:val="231F20"/>
          <w:spacing w:val="8"/>
        </w:rPr>
        <w:t xml:space="preserve"> </w:t>
      </w:r>
      <w:r>
        <w:rPr>
          <w:color w:val="231F20"/>
        </w:rPr>
        <w:t>条件允许的情况下可以重复使用、循环使用乃至无穷尽开发利用，因此其对推动经济增长</w:t>
      </w:r>
      <w:r>
        <w:rPr>
          <w:color w:val="231F20"/>
          <w:spacing w:val="12"/>
        </w:rPr>
        <w:t xml:space="preserve"> </w:t>
      </w:r>
      <w:r>
        <w:rPr>
          <w:color w:val="231F20"/>
          <w:spacing w:val="-5"/>
        </w:rPr>
        <w:t>具有倍增效应。</w:t>
      </w:r>
    </w:p>
    <w:p>
      <w:pPr>
        <w:pStyle w:val="BodyText"/>
        <w:ind w:right="569" w:firstLine="326"/>
        <w:spacing w:before="77" w:line="277" w:lineRule="auto"/>
        <w:jc w:val="both"/>
        <w:rPr/>
      </w:pPr>
      <w:r>
        <w:rPr>
          <w:color w:val="231F20"/>
          <w:spacing w:val="6"/>
        </w:rPr>
        <w:t>（</w:t>
      </w:r>
      <w:r>
        <w:rPr>
          <w:rFonts w:ascii="Times New Roman" w:hAnsi="Times New Roman" w:eastAsia="Times New Roman" w:cs="Times New Roman"/>
          <w:color w:val="231F20"/>
          <w:spacing w:val="6"/>
        </w:rPr>
        <w:t>3</w:t>
      </w:r>
      <w:r>
        <w:rPr>
          <w:color w:val="231F20"/>
          <w:spacing w:val="6"/>
        </w:rPr>
        <w:t>）数据要素具有强劲的流动性。流动性是</w:t>
      </w:r>
      <w:r>
        <w:rPr>
          <w:color w:val="231F20"/>
          <w:spacing w:val="5"/>
        </w:rPr>
        <w:t>生产要素产生价值的基本前提，不同生 </w:t>
      </w:r>
      <w:r>
        <w:rPr>
          <w:color w:val="231F20"/>
        </w:rPr>
        <w:t>产要素的流动性程度具有天壤之别。土地流动性最弱，劳动力流动性次之，技术流动性适 </w:t>
      </w:r>
      <w:r>
        <w:rPr>
          <w:color w:val="231F20"/>
        </w:rPr>
        <w:t>度，资本流动性较强，而数据流动性最为强劲。不同生产要素在流动过程中呈现形态迥异</w:t>
      </w:r>
      <w:r>
        <w:rPr>
          <w:color w:val="231F20"/>
          <w:spacing w:val="4"/>
        </w:rPr>
        <w:t xml:space="preserve">  </w:t>
      </w:r>
      <w:r>
        <w:rPr>
          <w:color w:val="231F20"/>
        </w:rPr>
        <w:t>的特征，劳动力流动和土地流转既是市场经济“看不见的手”作用的必然结果，也是在限</w:t>
      </w:r>
      <w:r>
        <w:rPr>
          <w:color w:val="231F20"/>
          <w:spacing w:val="4"/>
        </w:rPr>
        <w:t xml:space="preserve">  </w:t>
      </w:r>
      <w:r>
        <w:rPr>
          <w:color w:val="231F20"/>
        </w:rPr>
        <w:t>定条件下人们追求收益最大化的结果。技术流动的前提是其具有先进性，如此才能在不同</w:t>
      </w:r>
      <w:r>
        <w:rPr>
          <w:color w:val="231F20"/>
          <w:spacing w:val="1"/>
        </w:rPr>
        <w:t xml:space="preserve">  </w:t>
      </w:r>
      <w:r>
        <w:rPr>
          <w:color w:val="231F20"/>
        </w:rPr>
        <w:t>国家、地域、行业内部（或之间）进行输出与输入。投机性和逐利性是资本流动的基本特 </w:t>
      </w:r>
      <w:r>
        <w:rPr>
          <w:color w:val="231F20"/>
        </w:rPr>
        <w:t>征，考虑到资本在流动时常常与其他要素裹挟在一起发生裂变，其对经济社会的</w:t>
      </w:r>
      <w:r>
        <w:rPr>
          <w:color w:val="231F20"/>
          <w:spacing w:val="-1"/>
        </w:rPr>
        <w:t>推动作用</w:t>
      </w:r>
      <w:r>
        <w:rPr>
          <w:color w:val="231F20"/>
        </w:rPr>
        <w:t xml:space="preserve">  </w:t>
      </w:r>
      <w:r>
        <w:rPr>
          <w:color w:val="231F20"/>
        </w:rPr>
        <w:t>更加显著。作为</w:t>
      </w:r>
      <w:r>
        <w:rPr>
          <w:color w:val="231F20"/>
          <w:spacing w:val="-48"/>
        </w:rPr>
        <w:t xml:space="preserve"> </w:t>
      </w:r>
      <w:r>
        <w:rPr>
          <w:rFonts w:ascii="Times New Roman" w:hAnsi="Times New Roman" w:eastAsia="Times New Roman" w:cs="Times New Roman"/>
          <w:color w:val="231F20"/>
        </w:rPr>
        <w:t>21 </w:t>
      </w:r>
      <w:r>
        <w:rPr>
          <w:color w:val="231F20"/>
        </w:rPr>
        <w:t>世纪的国家战略资源，数据要素呈现出流</w:t>
      </w:r>
      <w:r>
        <w:rPr>
          <w:color w:val="231F20"/>
          <w:spacing w:val="-1"/>
        </w:rPr>
        <w:t>动速度更快、渗透程度更深、</w:t>
      </w:r>
      <w:r>
        <w:rPr>
          <w:color w:val="231F20"/>
        </w:rPr>
        <w:t xml:space="preserve"> </w:t>
      </w:r>
      <w:r>
        <w:rPr>
          <w:color w:val="231F20"/>
        </w:rPr>
        <w:t>涉及领域更广的特点，成为生产要素大家庭中最具增长潜力和价</w:t>
      </w:r>
      <w:r>
        <w:rPr>
          <w:color w:val="231F20"/>
          <w:spacing w:val="-1"/>
        </w:rPr>
        <w:t>值的“璀璨明星”。</w:t>
      </w:r>
    </w:p>
    <w:p>
      <w:pPr>
        <w:pStyle w:val="BodyText"/>
        <w:ind w:right="652" w:firstLine="325"/>
        <w:spacing w:before="75" w:line="274" w:lineRule="auto"/>
        <w:jc w:val="both"/>
        <w:rPr/>
      </w:pPr>
      <w:r>
        <w:rPr>
          <w:color w:val="231F20"/>
        </w:rPr>
        <w:t>（</w:t>
      </w:r>
      <w:r>
        <w:rPr>
          <w:rFonts w:ascii="Times New Roman" w:hAnsi="Times New Roman" w:eastAsia="Times New Roman" w:cs="Times New Roman"/>
          <w:color w:val="231F20"/>
        </w:rPr>
        <w:t>4</w:t>
      </w:r>
      <w:r>
        <w:rPr>
          <w:color w:val="231F20"/>
        </w:rPr>
        <w:t>）数据要素具有时效性。从数据的生成到消耗，时间窗口非常小。数据的变化速率</w:t>
      </w:r>
      <w:r>
        <w:rPr>
          <w:color w:val="231F20"/>
          <w:spacing w:val="2"/>
        </w:rPr>
        <w:t xml:space="preserve"> </w:t>
      </w:r>
      <w:r>
        <w:rPr>
          <w:color w:val="231F20"/>
        </w:rPr>
        <w:t>包括处理过程越来越快。数据的重要程度与时间成反比，如超过规定时限，数据可能就变</w:t>
      </w:r>
      <w:r>
        <w:rPr>
          <w:color w:val="231F20"/>
          <w:spacing w:val="11"/>
        </w:rPr>
        <w:t xml:space="preserve"> </w:t>
      </w:r>
      <w:r>
        <w:rPr>
          <w:color w:val="231F20"/>
        </w:rPr>
        <w:t>得一文不值。当企业注销后，再对该企业相关数据作出分析将毫无意义。如随着物联网的</w:t>
      </w:r>
      <w:r>
        <w:rPr>
          <w:color w:val="231F20"/>
          <w:spacing w:val="3"/>
        </w:rPr>
        <w:t xml:space="preserve"> </w:t>
      </w:r>
      <w:r>
        <w:rPr>
          <w:color w:val="231F20"/>
        </w:rPr>
        <w:t>广泛应用，信息感知无处不在，信息海量，但价值密度较低，通过强大的机器算法可以更</w:t>
      </w:r>
      <w:r>
        <w:rPr>
          <w:color w:val="231F20"/>
          <w:spacing w:val="9"/>
        </w:rPr>
        <w:t xml:space="preserve"> </w:t>
      </w:r>
      <w:r>
        <w:rPr>
          <w:color w:val="231F20"/>
        </w:rPr>
        <w:t>迅速地完成数据的价值“提纯”，在大数据时代，数据快速处理能力将助推企业抢占市场</w:t>
      </w:r>
      <w:r>
        <w:rPr>
          <w:color w:val="231F20"/>
          <w:spacing w:val="9"/>
        </w:rPr>
        <w:t xml:space="preserve"> </w:t>
      </w:r>
      <w:r>
        <w:rPr>
          <w:color w:val="231F20"/>
          <w:spacing w:val="-9"/>
        </w:rPr>
        <w:t>先机。</w:t>
      </w:r>
    </w:p>
    <w:p>
      <w:pPr>
        <w:pStyle w:val="BodyText"/>
        <w:ind w:right="643" w:firstLine="326"/>
        <w:spacing w:before="77" w:line="275" w:lineRule="auto"/>
        <w:jc w:val="both"/>
        <w:rPr/>
      </w:pPr>
      <w:r>
        <w:rPr>
          <w:color w:val="231F20"/>
          <w:spacing w:val="6"/>
        </w:rPr>
        <w:t>（</w:t>
      </w:r>
      <w:r>
        <w:rPr>
          <w:rFonts w:ascii="Times New Roman" w:hAnsi="Times New Roman" w:eastAsia="Times New Roman" w:cs="Times New Roman"/>
          <w:color w:val="231F20"/>
          <w:spacing w:val="6"/>
        </w:rPr>
        <w:t>5</w:t>
      </w:r>
      <w:r>
        <w:rPr>
          <w:color w:val="231F20"/>
          <w:spacing w:val="6"/>
        </w:rPr>
        <w:t>）数据要素具有非排他性。排他性是指某一事物在一定范围内排斥另一事物</w:t>
      </w:r>
      <w:r>
        <w:rPr>
          <w:color w:val="231F20"/>
          <w:spacing w:val="5"/>
        </w:rPr>
        <w:t>的性</w:t>
      </w:r>
      <w:r>
        <w:rPr>
          <w:color w:val="231F20"/>
        </w:rPr>
        <w:t xml:space="preserve"> </w:t>
      </w:r>
      <w:r>
        <w:rPr>
          <w:color w:val="231F20"/>
          <w:spacing w:val="1"/>
        </w:rPr>
        <w:t>质。经济学视角下的排他性则指在技术上排斥他</w:t>
      </w:r>
      <w:r>
        <w:rPr>
          <w:color w:val="231F20"/>
        </w:rPr>
        <w:t>人使用的可能性，比如某人使用或消费一 </w:t>
      </w:r>
      <w:r>
        <w:rPr>
          <w:color w:val="231F20"/>
        </w:rPr>
        <w:t>种物品时便阻止了其他人同时使用或消费该物品。由此可见，资本和劳动力要素明显具有</w:t>
      </w:r>
      <w:r>
        <w:rPr>
          <w:color w:val="231F20"/>
          <w:spacing w:val="11"/>
        </w:rPr>
        <w:t xml:space="preserve"> </w:t>
      </w:r>
      <w:r>
        <w:rPr>
          <w:color w:val="231F20"/>
          <w:spacing w:val="1"/>
        </w:rPr>
        <w:t>排他性。数据本身具备的非常强大的复用效率使其</w:t>
      </w:r>
      <w:r>
        <w:rPr>
          <w:color w:val="231F20"/>
        </w:rPr>
        <w:t>可以按照既有模式在一定范围按照一定 </w:t>
      </w:r>
      <w:r>
        <w:rPr>
          <w:color w:val="231F20"/>
        </w:rPr>
        <w:t>权限重复使用，因此数据生产要素彻底颠覆了传统生产要素的使用局限性，数据资源可以</w:t>
      </w:r>
      <w:r>
        <w:rPr>
          <w:color w:val="231F20"/>
          <w:spacing w:val="2"/>
        </w:rPr>
        <w:t xml:space="preserve"> </w:t>
      </w:r>
      <w:r>
        <w:rPr>
          <w:color w:val="231F20"/>
        </w:rPr>
        <w:t>无限复制，供多个主体在同一时间不同地点使用，这些主体的使用不仅不会减损数据本身</w:t>
      </w:r>
      <w:r>
        <w:rPr>
          <w:color w:val="231F20"/>
          <w:spacing w:val="6"/>
        </w:rPr>
        <w:t xml:space="preserve"> </w:t>
      </w:r>
      <w:r>
        <w:rPr>
          <w:color w:val="231F20"/>
          <w:spacing w:val="-2"/>
        </w:rPr>
        <w:t>的价值，还能够从对数据的利用中发掘出更多的价值。</w:t>
      </w:r>
    </w:p>
    <w:p>
      <w:pPr>
        <w:pStyle w:val="BodyText"/>
        <w:ind w:left="1" w:right="649" w:firstLine="325"/>
        <w:spacing w:before="73" w:line="269" w:lineRule="auto"/>
        <w:jc w:val="both"/>
        <w:rPr/>
      </w:pPr>
      <w:r>
        <w:rPr>
          <w:color w:val="231F20"/>
        </w:rPr>
        <w:t>（</w:t>
      </w:r>
      <w:r>
        <w:rPr>
          <w:rFonts w:ascii="Times New Roman" w:hAnsi="Times New Roman" w:eastAsia="Times New Roman" w:cs="Times New Roman"/>
          <w:color w:val="231F20"/>
        </w:rPr>
        <w:t>6</w:t>
      </w:r>
      <w:r>
        <w:rPr>
          <w:color w:val="231F20"/>
        </w:rPr>
        <w:t>）数据要素具有产权模糊性。数据生产要素在产权归属上存在一定的模糊性，其所</w:t>
      </w:r>
      <w:r>
        <w:rPr>
          <w:color w:val="231F20"/>
          <w:spacing w:val="5"/>
        </w:rPr>
        <w:t xml:space="preserve"> </w:t>
      </w:r>
      <w:r>
        <w:rPr>
          <w:color w:val="231F20"/>
        </w:rPr>
        <w:t>有权和产生的各项产出在企业和消费者之间的分配尚不清晰。消费者在使用互联网公司等</w:t>
      </w:r>
      <w:r>
        <w:rPr>
          <w:color w:val="231F20"/>
          <w:spacing w:val="11"/>
        </w:rPr>
        <w:t xml:space="preserve"> </w:t>
      </w:r>
      <w:r>
        <w:rPr>
          <w:color w:val="231F20"/>
        </w:rPr>
        <w:t>企业提供的各项</w:t>
      </w:r>
      <w:r>
        <w:rPr>
          <w:color w:val="231F20"/>
          <w:spacing w:val="-47"/>
        </w:rPr>
        <w:t xml:space="preserve"> </w:t>
      </w:r>
      <w:r>
        <w:rPr>
          <w:rFonts w:ascii="Times New Roman" w:hAnsi="Times New Roman" w:eastAsia="Times New Roman" w:cs="Times New Roman"/>
          <w:color w:val="231F20"/>
        </w:rPr>
        <w:t>ICT </w:t>
      </w:r>
      <w:r>
        <w:rPr>
          <w:color w:val="231F20"/>
        </w:rPr>
        <w:t>产品和服务的过程中会产生大</w:t>
      </w:r>
      <w:r>
        <w:rPr>
          <w:color w:val="231F20"/>
          <w:spacing w:val="-1"/>
        </w:rPr>
        <w:t>量数据。这些数据往往由企业直接收集</w:t>
      </w:r>
      <w:r>
        <w:rPr>
          <w:color w:val="231F20"/>
        </w:rPr>
        <w:t xml:space="preserve"> </w:t>
      </w:r>
      <w:r>
        <w:rPr>
          <w:color w:val="231F20"/>
        </w:rPr>
        <w:t>和整理，消费者在客观上没有处置和使用这些数据的机会。数据产权并不像传统要素的产</w:t>
      </w:r>
    </w:p>
    <w:p>
      <w:pPr>
        <w:spacing w:line="269" w:lineRule="auto"/>
        <w:sectPr>
          <w:footerReference w:type="default" r:id="rId26"/>
          <w:pgSz w:w="10489" w:h="14741"/>
          <w:pgMar w:top="679" w:right="489" w:bottom="731" w:left="1141" w:header="0" w:footer="552" w:gutter="0"/>
        </w:sectPr>
        <w:rPr/>
      </w:pPr>
    </w:p>
    <w:p>
      <w:pPr>
        <w:ind w:left="1733"/>
        <w:spacing w:before="174" w:line="205" w:lineRule="auto"/>
        <w:rPr>
          <w:rFonts w:ascii="Microsoft YaHei" w:hAnsi="Microsoft YaHei" w:eastAsia="Microsoft YaHei" w:cs="Microsoft YaHei"/>
          <w:sz w:val="18"/>
          <w:szCs w:val="18"/>
        </w:rPr>
      </w:pPr>
      <w:r>
        <w:pict>
          <v:group id="_x0000_s32" style="position:absolute;margin-left:51.0118pt;margin-top:35.3026pt;mso-position-vertical-relative:page;mso-position-horizontal-relative:page;width:50.1pt;height:12.95pt;z-index:251699200;" o:allowincell="f" filled="false" stroked="false" coordsize="1001,258" coordorigin="0,0">
            <v:shape id="_x0000_s34" style="position:absolute;left:0;top:0;width:1001;height:258;" filled="false" stroked="false" type="#_x0000_t75">
              <v:imagedata o:title="" r:id="rId29"/>
            </v:shape>
            <v:shape id="_x0000_s36" style="position:absolute;left:-20;top:-20;width:1041;height:355;" filled="false" stroked="false" type="#_x0000_t202">
              <v:fill on="false"/>
              <v:stroke on="false"/>
              <v:path/>
              <v:imagedata o:title=""/>
              <o:lock v:ext="edit" aspectratio="false"/>
              <v:textbox inset="0mm,0mm,0mm,0mm">
                <w:txbxContent>
                  <w:p>
                    <w:pPr>
                      <w:ind w:left="246"/>
                      <w:spacing w:before="49" w:line="20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FFFFFF"/>
                        <w:spacing w:val="1"/>
                      </w:rPr>
                      <w:t>数据治理</w:t>
                    </w:r>
                  </w:p>
                </w:txbxContent>
              </v:textbox>
            </v:shape>
          </v:group>
        </w:pict>
      </w:r>
      <w:r>
        <w:drawing>
          <wp:anchor distT="0" distB="0" distL="0" distR="0" simplePos="0" relativeHeight="251697152" behindDoc="0" locked="0" layoutInCell="0" allowOverlap="1">
            <wp:simplePos x="0" y="0"/>
            <wp:positionH relativeFrom="page">
              <wp:posOffset>530735</wp:posOffset>
            </wp:positionH>
            <wp:positionV relativeFrom="page">
              <wp:posOffset>386139</wp:posOffset>
            </wp:positionV>
            <wp:extent cx="160280" cy="226141"/>
            <wp:effectExtent l="0" t="0" r="0" b="0"/>
            <wp:wrapNone/>
            <wp:docPr id="46" name="IM 46"/>
            <wp:cNvGraphicFramePr/>
            <a:graphic>
              <a:graphicData uri="http://schemas.openxmlformats.org/drawingml/2006/picture">
                <pic:pic>
                  <pic:nvPicPr>
                    <pic:cNvPr id="46" name="IM 46"/>
                    <pic:cNvPicPr/>
                  </pic:nvPicPr>
                  <pic:blipFill>
                    <a:blip r:embed="rId30"/>
                    <a:stretch>
                      <a:fillRect/>
                    </a:stretch>
                  </pic:blipFill>
                  <pic:spPr>
                    <a:xfrm rot="0">
                      <a:off x="0" y="0"/>
                      <a:ext cx="160280" cy="226141"/>
                    </a:xfrm>
                    <a:prstGeom prst="rect">
                      <a:avLst/>
                    </a:prstGeom>
                  </pic:spPr>
                </pic:pic>
              </a:graphicData>
            </a:graphic>
          </wp:anchor>
        </w:drawing>
      </w:r>
      <w:r>
        <w:drawing>
          <wp:anchor distT="0" distB="0" distL="0" distR="0" simplePos="0" relativeHeight="251698176" behindDoc="0" locked="0" layoutInCell="0" allowOverlap="1">
            <wp:simplePos x="0" y="0"/>
            <wp:positionH relativeFrom="page">
              <wp:posOffset>358195</wp:posOffset>
            </wp:positionH>
            <wp:positionV relativeFrom="page">
              <wp:posOffset>356405</wp:posOffset>
            </wp:positionV>
            <wp:extent cx="369303" cy="218795"/>
            <wp:effectExtent l="0" t="0" r="0" b="0"/>
            <wp:wrapNone/>
            <wp:docPr id="48" name="IM 48"/>
            <wp:cNvGraphicFramePr/>
            <a:graphic>
              <a:graphicData uri="http://schemas.openxmlformats.org/drawingml/2006/picture">
                <pic:pic>
                  <pic:nvPicPr>
                    <pic:cNvPr id="48" name="IM 48"/>
                    <pic:cNvPicPr/>
                  </pic:nvPicPr>
                  <pic:blipFill>
                    <a:blip r:embed="rId31"/>
                    <a:stretch>
                      <a:fillRect/>
                    </a:stretch>
                  </pic:blipFill>
                  <pic:spPr>
                    <a:xfrm rot="0">
                      <a:off x="0" y="0"/>
                      <a:ext cx="369303" cy="218795"/>
                    </a:xfrm>
                    <a:prstGeom prst="rect">
                      <a:avLst/>
                    </a:prstGeom>
                  </pic:spPr>
                </pic:pic>
              </a:graphicData>
            </a:graphic>
          </wp:anchor>
        </w:drawing>
      </w:r>
      <w:r>
        <w:drawing>
          <wp:anchor distT="0" distB="0" distL="0" distR="0" simplePos="0" relativeHeight="251696128" behindDoc="0" locked="0" layoutInCell="0" allowOverlap="1">
            <wp:simplePos x="0" y="0"/>
            <wp:positionH relativeFrom="page">
              <wp:posOffset>396378</wp:posOffset>
            </wp:positionH>
            <wp:positionV relativeFrom="page">
              <wp:posOffset>391648</wp:posOffset>
            </wp:positionV>
            <wp:extent cx="118569" cy="153812"/>
            <wp:effectExtent l="0" t="0" r="0" b="0"/>
            <wp:wrapNone/>
            <wp:docPr id="50" name="IM 50"/>
            <wp:cNvGraphicFramePr/>
            <a:graphic>
              <a:graphicData uri="http://schemas.openxmlformats.org/drawingml/2006/picture">
                <pic:pic>
                  <pic:nvPicPr>
                    <pic:cNvPr id="50" name="IM 50"/>
                    <pic:cNvPicPr/>
                  </pic:nvPicPr>
                  <pic:blipFill>
                    <a:blip r:embed="rId32"/>
                    <a:stretch>
                      <a:fillRect/>
                    </a:stretch>
                  </pic:blipFill>
                  <pic:spPr>
                    <a:xfrm rot="0">
                      <a:off x="0" y="0"/>
                      <a:ext cx="118569" cy="153812"/>
                    </a:xfrm>
                    <a:prstGeom prst="rect">
                      <a:avLst/>
                    </a:prstGeom>
                  </pic:spPr>
                </pic:pic>
              </a:graphicData>
            </a:graphic>
          </wp:anchor>
        </w:drawing>
      </w:r>
      <w:r>
        <w:drawing>
          <wp:anchor distT="0" distB="0" distL="0" distR="0" simplePos="0" relativeHeight="251695104" behindDoc="0" locked="0" layoutInCell="0" allowOverlap="1">
            <wp:simplePos x="0" y="0"/>
            <wp:positionH relativeFrom="page">
              <wp:posOffset>215996</wp:posOffset>
            </wp:positionH>
            <wp:positionV relativeFrom="page">
              <wp:posOffset>1578002</wp:posOffset>
            </wp:positionV>
            <wp:extent cx="431997" cy="433398"/>
            <wp:effectExtent l="0" t="0" r="0" b="0"/>
            <wp:wrapNone/>
            <wp:docPr id="52" name="IM 52"/>
            <wp:cNvGraphicFramePr/>
            <a:graphic>
              <a:graphicData uri="http://schemas.openxmlformats.org/drawingml/2006/picture">
                <pic:pic>
                  <pic:nvPicPr>
                    <pic:cNvPr id="52" name="IM 52"/>
                    <pic:cNvPicPr/>
                  </pic:nvPicPr>
                  <pic:blipFill>
                    <a:blip r:embed="rId33"/>
                    <a:stretch>
                      <a:fillRect/>
                    </a:stretch>
                  </pic:blipFill>
                  <pic:spPr>
                    <a:xfrm rot="0">
                      <a:off x="0" y="0"/>
                      <a:ext cx="431997" cy="433398"/>
                    </a:xfrm>
                    <a:prstGeom prst="rect">
                      <a:avLst/>
                    </a:prstGeom>
                  </pic:spPr>
                </pic:pic>
              </a:graphicData>
            </a:graphic>
          </wp:anchor>
        </w:drawing>
      </w:r>
      <w:r>
        <w:rPr>
          <w:rFonts w:ascii="Microsoft YaHei" w:hAnsi="Microsoft YaHei" w:eastAsia="Microsoft YaHei" w:cs="Microsoft YaHei"/>
          <w:sz w:val="18"/>
          <w:szCs w:val="18"/>
          <w:color w:val="4B4C4D"/>
          <w:spacing w:val="2"/>
        </w:rPr>
        <w:t>理论、方法与实践</w:t>
      </w:r>
    </w:p>
    <w:p>
      <w:pPr>
        <w:spacing w:line="290" w:lineRule="auto"/>
        <w:rPr>
          <w:rFonts w:ascii="Arial"/>
          <w:sz w:val="21"/>
        </w:rPr>
      </w:pPr>
      <w:r/>
    </w:p>
    <w:p>
      <w:pPr>
        <w:pStyle w:val="BodyText"/>
        <w:ind w:left="801" w:right="55"/>
        <w:spacing w:before="68" w:line="263" w:lineRule="auto"/>
        <w:jc w:val="both"/>
        <w:rPr/>
      </w:pPr>
      <w:r>
        <w:rPr>
          <w:color w:val="231F20"/>
          <w:spacing w:val="1"/>
        </w:rPr>
        <w:t>权那样，其主体对其所有物享有包含所有权、使用</w:t>
      </w:r>
      <w:r>
        <w:rPr>
          <w:color w:val="231F20"/>
        </w:rPr>
        <w:t>权、收益权、处置权等权利。因此，采 </w:t>
      </w:r>
      <w:r>
        <w:rPr>
          <w:color w:val="231F20"/>
        </w:rPr>
        <w:t>用传统要素的产权界定手段很难清晰识别数据在不同场景中作出的贡献并追踪其主体，根</w:t>
      </w:r>
      <w:r>
        <w:rPr>
          <w:color w:val="231F20"/>
          <w:spacing w:val="14"/>
        </w:rPr>
        <w:t xml:space="preserve"> </w:t>
      </w:r>
      <w:r>
        <w:rPr>
          <w:color w:val="231F20"/>
          <w:spacing w:val="-2"/>
        </w:rPr>
        <w:t>据其应用的方式、创造的价值配置处置、收益等相应的权利。</w:t>
      </w:r>
    </w:p>
    <w:p>
      <w:pPr>
        <w:ind w:left="818"/>
        <w:spacing w:before="216" w:line="201" w:lineRule="auto"/>
        <w:rPr>
          <w:sz w:val="23"/>
          <w:szCs w:val="23"/>
        </w:rPr>
      </w:pPr>
      <w:r>
        <w:rPr>
          <w:rFonts w:ascii="Arial" w:hAnsi="Arial" w:eastAsia="Arial" w:cs="Arial"/>
          <w:sz w:val="23"/>
          <w:szCs w:val="23"/>
          <w:u w:val="single" w:color="76787B"/>
          <w:color w:val="231F20"/>
          <w:spacing w:val="-3"/>
        </w:rPr>
        <w:t>1.1.3</w:t>
      </w:r>
      <w:r>
        <w:rPr>
          <w:rFonts w:ascii="Arial" w:hAnsi="Arial" w:eastAsia="Arial" w:cs="Arial"/>
          <w:sz w:val="23"/>
          <w:szCs w:val="23"/>
          <w:u w:val="single" w:color="76787B"/>
          <w:color w:val="231F20"/>
          <w:spacing w:val="18"/>
        </w:rPr>
        <w:t xml:space="preserve">   </w:t>
      </w:r>
      <w:r>
        <w:rPr>
          <w:rFonts w:ascii="Microsoft YaHei" w:hAnsi="Microsoft YaHei" w:eastAsia="Microsoft YaHei" w:cs="Microsoft YaHei"/>
          <w:sz w:val="23"/>
          <w:szCs w:val="23"/>
          <w:u w:val="single" w:color="76787B"/>
          <w:color w:val="231F20"/>
          <w:spacing w:val="-3"/>
        </w:rPr>
        <w:t>数据创造价值的维度</w:t>
      </w:r>
      <w:r>
        <w:rPr>
          <w:rFonts w:ascii="Microsoft YaHei" w:hAnsi="Microsoft YaHei" w:eastAsia="Microsoft YaHei" w:cs="Microsoft YaHei"/>
          <w:sz w:val="23"/>
          <w:szCs w:val="23"/>
          <w:u w:val="single" w:color="76787B"/>
          <w:color w:val="231F20"/>
          <w:spacing w:val="-48"/>
        </w:rPr>
        <w:t xml:space="preserve"> </w:t>
      </w:r>
      <w:r>
        <w:rPr>
          <w:sz w:val="23"/>
          <w:szCs w:val="23"/>
          <w:position w:val="-7"/>
        </w:rPr>
        <w:drawing>
          <wp:inline distT="0" distB="0" distL="0" distR="0">
            <wp:extent cx="70198" cy="187197"/>
            <wp:effectExtent l="0" t="0" r="0" b="0"/>
            <wp:docPr id="54" name="IM 54"/>
            <wp:cNvGraphicFramePr/>
            <a:graphic>
              <a:graphicData uri="http://schemas.openxmlformats.org/drawingml/2006/picture">
                <pic:pic>
                  <pic:nvPicPr>
                    <pic:cNvPr id="54" name="IM 54"/>
                    <pic:cNvPicPr/>
                  </pic:nvPicPr>
                  <pic:blipFill>
                    <a:blip r:embed="rId34"/>
                    <a:stretch>
                      <a:fillRect/>
                    </a:stretch>
                  </pic:blipFill>
                  <pic:spPr>
                    <a:xfrm rot="0">
                      <a:off x="0" y="0"/>
                      <a:ext cx="70198" cy="187197"/>
                    </a:xfrm>
                    <a:prstGeom prst="rect">
                      <a:avLst/>
                    </a:prstGeom>
                  </pic:spPr>
                </pic:pic>
              </a:graphicData>
            </a:graphic>
          </wp:inline>
        </w:drawing>
      </w:r>
    </w:p>
    <w:p>
      <w:pPr>
        <w:pStyle w:val="BodyText"/>
        <w:ind w:left="801" w:right="55" w:firstLine="426"/>
        <w:spacing w:before="172" w:line="272" w:lineRule="auto"/>
        <w:jc w:val="both"/>
        <w:rPr/>
      </w:pPr>
      <w:r>
        <w:pict>
          <v:shape id="_x0000_s38" style="position:absolute;margin-left:1.2619pt;margin-top:21.5682pt;mso-position-vertical-relative:text;mso-position-horizontal-relative:text;width:31.8pt;height:11.25pt;z-index:251700224;" filled="false" stroked="false" type="#_x0000_t202">
            <v:fill on="false"/>
            <v:stroke on="false"/>
            <v:path/>
            <v:imagedata o:title=""/>
            <o:lock v:ext="edit" aspectratio="false"/>
            <v:textbox inset="0mm,0mm,0mm,0mm">
              <w:txbxContent>
                <w:p>
                  <w:pPr>
                    <w:ind w:left="20"/>
                    <w:spacing w:before="20" w:line="17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31F20"/>
                      <w:spacing w:val="-1"/>
                    </w:rPr>
                    <w:t>视频讲解</w:t>
                  </w:r>
                </w:p>
              </w:txbxContent>
            </v:textbox>
          </v:shape>
        </w:pict>
      </w:r>
      <w:r>
        <w:rPr>
          <w:color w:val="231F20"/>
        </w:rPr>
        <w:t>数据与人类息息相关，越来越多的问题可以通过数据解决。不仅在数据科学与技术层</w:t>
      </w:r>
      <w:r>
        <w:rPr>
          <w:color w:val="231F20"/>
          <w:spacing w:val="15"/>
        </w:rPr>
        <w:t xml:space="preserve"> </w:t>
      </w:r>
      <w:r>
        <w:rPr>
          <w:color w:val="231F20"/>
        </w:rPr>
        <w:t>面，而且在商业模式、产业格局、生态价值等方面，数据的价值都能够带来新理念和新思</w:t>
      </w:r>
      <w:r>
        <w:rPr>
          <w:color w:val="231F20"/>
          <w:spacing w:val="5"/>
        </w:rPr>
        <w:t xml:space="preserve"> </w:t>
      </w:r>
      <w:r>
        <w:rPr>
          <w:color w:val="231F20"/>
        </w:rPr>
        <w:t>维，涉及面包括政府宏观部门、不同的产业界与学术界，甚至个人消费者。数据正在以前</w:t>
      </w:r>
      <w:r>
        <w:rPr>
          <w:color w:val="231F20"/>
          <w:spacing w:val="8"/>
        </w:rPr>
        <w:t xml:space="preserve"> </w:t>
      </w:r>
      <w:r>
        <w:rPr>
          <w:color w:val="231F20"/>
          <w:spacing w:val="1"/>
        </w:rPr>
        <w:t>所未有的程度引起社会、经济、学术、科研、国</w:t>
      </w:r>
      <w:r>
        <w:rPr>
          <w:color w:val="231F20"/>
        </w:rPr>
        <w:t>防、军事等领域的深刻变革。数据所创造 </w:t>
      </w:r>
      <w:r>
        <w:rPr>
          <w:color w:val="231F20"/>
          <w:spacing w:val="-2"/>
        </w:rPr>
        <w:t>的价值将更好地解决商业问题、科技问题，以及各种社会问题。</w:t>
      </w:r>
    </w:p>
    <w:p>
      <w:pPr>
        <w:pStyle w:val="BodyText"/>
        <w:ind w:left="1243"/>
        <w:spacing w:before="75" w:line="219" w:lineRule="auto"/>
        <w:rPr/>
      </w:pPr>
      <w:r>
        <w:pict>
          <v:shape id="_x0000_s40" style="position:absolute;margin-left:82.2288pt;margin-top:4.1881pt;mso-position-vertical-relative:text;mso-position-horizontal-relative:text;width:9.7pt;height:9.75pt;z-index:-251622400;" filled="false" strokecolor="#231F20" strokeweight="0.17pt" coordsize="193,195" coordorigin="0,0" path="m108,187l108,173l164,173l164,191l175,184c175,172,174,155,174,133l181,128l169,118l163,125l141,125l141,92l192,92l178,78l169,87l141,87l141,70l148,65l130,57c131,67,131,77,131,87l93,87c94,74,95,62,95,52l164,52l164,62l175,57c175,49,174,37,174,21l181,17l169,6l163,13l96,13l83,5c84,17,84,36,84,62c83,89,80,112,74,132c68,152,58,170,46,186l49,188c74,163,88,131,92,92l131,92l131,125l108,125l96,119c97,129,97,141,97,154c97,168,97,180,96,192l108,187xm164,47l95,47l95,18l164,18l164,47xm164,169l108,169l108,130l164,130l164,169xm49,54l81,54l68,40l58,49l49,49l49,17l55,11l36,1c37,11,37,26,37,49l2,49l9,55l18,54l37,54l37,96c16,106,4,111,1,112l13,127c14,123,22,116,37,105l37,164c37,167,36,170,33,170c30,170,22,169,10,167l10,170c25,176,32,182,31,187c42,183,48,176,49,166l49,100l77,78l76,75l49,91l49,54xe">
            <v:stroke joinstyle="miter" miterlimit="4"/>
          </v:shape>
        </w:pict>
      </w:r>
      <w:r>
        <w:rPr>
          <w:rFonts w:ascii="Times New Roman" w:hAnsi="Times New Roman" w:eastAsia="Times New Roman" w:cs="Times New Roman"/>
          <w:color w:val="231F20"/>
          <w:spacing w:val="-3"/>
        </w:rPr>
        <w:t>1. </w:t>
      </w:r>
      <w:r>
        <w:rPr>
          <w:color w:val="231F20"/>
          <w:spacing w:val="-3"/>
        </w:rPr>
        <w:t>数据对于个人的价值</w:t>
      </w:r>
    </w:p>
    <w:p>
      <w:pPr>
        <w:pStyle w:val="BodyText"/>
        <w:ind w:left="801" w:right="60" w:firstLine="424"/>
        <w:spacing w:before="73" w:line="269" w:lineRule="auto"/>
        <w:rPr/>
      </w:pPr>
      <w:r>
        <w:rPr>
          <w:color w:val="231F20"/>
        </w:rPr>
        <w:t>对于个人而言，数据是一个人在学习、工作、生活中形成的经验、知识等，乃至于在</w:t>
      </w:r>
      <w:r>
        <w:rPr>
          <w:color w:val="231F20"/>
          <w:spacing w:val="6"/>
        </w:rPr>
        <w:t xml:space="preserve"> </w:t>
      </w:r>
      <w:r>
        <w:rPr>
          <w:color w:val="231F20"/>
        </w:rPr>
        <w:t>个人同意出让前提下的个人信息数据实质上也是个人的重要“资产”，是一个人生存与发</w:t>
      </w:r>
      <w:r>
        <w:rPr>
          <w:color w:val="231F20"/>
          <w:spacing w:val="17"/>
        </w:rPr>
        <w:t xml:space="preserve"> </w:t>
      </w:r>
      <w:r>
        <w:rPr>
          <w:color w:val="231F20"/>
        </w:rPr>
        <w:t>展的保障和动力。数据对个人的价值归根结底是能帮助人们全面了解事物本质并形成正确</w:t>
      </w:r>
      <w:r>
        <w:rPr>
          <w:color w:val="231F20"/>
          <w:spacing w:val="5"/>
        </w:rPr>
        <w:t xml:space="preserve"> </w:t>
      </w:r>
      <w:r>
        <w:rPr>
          <w:color w:val="231F20"/>
          <w:spacing w:val="-3"/>
        </w:rPr>
        <w:t>的决策，具体表现在以下几方面。</w:t>
      </w:r>
    </w:p>
    <w:p>
      <w:pPr>
        <w:pStyle w:val="BodyText"/>
        <w:ind w:left="1243"/>
        <w:spacing w:before="74" w:line="235" w:lineRule="auto"/>
        <w:rPr/>
      </w:pPr>
      <w:r>
        <w:rPr>
          <w:rFonts w:ascii="Times New Roman" w:hAnsi="Times New Roman" w:eastAsia="Times New Roman" w:cs="Times New Roman"/>
          <w:color w:val="231F20"/>
          <w:spacing w:val="-8"/>
        </w:rPr>
        <w:t>1 </w:t>
      </w:r>
      <w:r>
        <w:rPr>
          <w:color w:val="231F20"/>
          <w:spacing w:val="-8"/>
        </w:rPr>
        <w:t>）提高工作生活效率</w:t>
      </w:r>
    </w:p>
    <w:p>
      <w:pPr>
        <w:pStyle w:val="BodyText"/>
        <w:ind w:left="801" w:right="66" w:firstLine="426"/>
        <w:spacing w:before="56" w:line="269" w:lineRule="auto"/>
        <w:rPr/>
      </w:pPr>
      <w:r>
        <w:rPr>
          <w:color w:val="231F20"/>
          <w:spacing w:val="6"/>
        </w:rPr>
        <w:t>数据引发的技术革命以提升效率为起点。通过数据的计算与分析，</w:t>
      </w:r>
      <w:r>
        <w:rPr>
          <w:color w:val="231F20"/>
          <w:spacing w:val="5"/>
        </w:rPr>
        <w:t>许多时间被节省</w:t>
      </w:r>
      <w:r>
        <w:rPr>
          <w:color w:val="231F20"/>
        </w:rPr>
        <w:t xml:space="preserve"> </w:t>
      </w:r>
      <w:r>
        <w:rPr>
          <w:color w:val="231F20"/>
        </w:rPr>
        <w:t>下来，人们可以去从事其他如消费、创新等活动。数据的运用不断释放人类社会的巨大产</w:t>
      </w:r>
      <w:r>
        <w:rPr>
          <w:color w:val="231F20"/>
          <w:spacing w:val="7"/>
        </w:rPr>
        <w:t xml:space="preserve"> </w:t>
      </w:r>
      <w:r>
        <w:rPr>
          <w:color w:val="231F20"/>
        </w:rPr>
        <w:t>能，医疗记录数字化、出行方式智慧化等多方面的进步都源于数据创造的价值，丰富了人</w:t>
      </w:r>
      <w:r>
        <w:rPr>
          <w:color w:val="231F20"/>
          <w:spacing w:val="11"/>
        </w:rPr>
        <w:t xml:space="preserve"> </w:t>
      </w:r>
      <w:r>
        <w:rPr>
          <w:color w:val="231F20"/>
          <w:spacing w:val="-3"/>
        </w:rPr>
        <w:t>类的现实生活，增加了人类认知盈余。</w:t>
      </w:r>
    </w:p>
    <w:p>
      <w:pPr>
        <w:pStyle w:val="BodyText"/>
        <w:ind w:left="1223"/>
        <w:spacing w:before="73" w:line="235" w:lineRule="auto"/>
        <w:rPr/>
      </w:pPr>
      <w:r>
        <w:rPr>
          <w:rFonts w:ascii="Times New Roman" w:hAnsi="Times New Roman" w:eastAsia="Times New Roman" w:cs="Times New Roman"/>
          <w:color w:val="231F20"/>
          <w:spacing w:val="-9"/>
        </w:rPr>
        <w:t>2 </w:t>
      </w:r>
      <w:r>
        <w:rPr>
          <w:color w:val="231F20"/>
          <w:spacing w:val="-9"/>
        </w:rPr>
        <w:t>）提高洞悉能力</w:t>
      </w:r>
    </w:p>
    <w:p>
      <w:pPr>
        <w:pStyle w:val="BodyText"/>
        <w:ind w:left="803" w:firstLine="425"/>
        <w:spacing w:before="55" w:line="264" w:lineRule="auto"/>
        <w:rPr/>
      </w:pPr>
      <w:r>
        <w:rPr>
          <w:color w:val="231F20"/>
        </w:rPr>
        <w:t>用数据可以完成对事物的精准刻画，帮助人们全面了解事物的本真面目。此时，数据</w:t>
      </w:r>
      <w:r>
        <w:rPr>
          <w:color w:val="231F20"/>
          <w:spacing w:val="4"/>
        </w:rPr>
        <w:t xml:space="preserve"> </w:t>
      </w:r>
      <w:r>
        <w:rPr>
          <w:color w:val="231F20"/>
          <w:spacing w:val="2"/>
        </w:rPr>
        <w:t>发挥的作用在于减少信息不对称，帮助人们提高洞察力和获得新知识。在数据的支持</w:t>
      </w:r>
      <w:r>
        <w:rPr>
          <w:color w:val="231F20"/>
          <w:spacing w:val="1"/>
        </w:rPr>
        <w:t>下，</w:t>
      </w:r>
      <w:r>
        <w:rPr>
          <w:color w:val="231F20"/>
        </w:rPr>
        <w:t xml:space="preserve"> </w:t>
      </w:r>
      <w:r>
        <w:rPr>
          <w:color w:val="231F20"/>
          <w:spacing w:val="-4"/>
        </w:rPr>
        <w:t>人们实现了从“不知道”到“知道”、从“不清晰”到“清晰”的转变。</w:t>
      </w:r>
    </w:p>
    <w:p>
      <w:pPr>
        <w:pStyle w:val="BodyText"/>
        <w:ind w:left="1227"/>
        <w:spacing w:before="73" w:line="235" w:lineRule="auto"/>
        <w:rPr/>
      </w:pPr>
      <w:r>
        <w:rPr>
          <w:rFonts w:ascii="Times New Roman" w:hAnsi="Times New Roman" w:eastAsia="Times New Roman" w:cs="Times New Roman"/>
          <w:color w:val="231F20"/>
          <w:spacing w:val="-3"/>
        </w:rPr>
        <w:t>3</w:t>
      </w:r>
      <w:r>
        <w:rPr>
          <w:color w:val="231F20"/>
          <w:spacing w:val="-3"/>
        </w:rPr>
        <w:t>）形成正确决策</w:t>
      </w:r>
    </w:p>
    <w:p>
      <w:pPr>
        <w:pStyle w:val="BodyText"/>
        <w:ind w:left="801" w:right="66" w:firstLine="426"/>
        <w:spacing w:before="54" w:line="269" w:lineRule="auto"/>
        <w:rPr/>
      </w:pPr>
      <w:r>
        <w:rPr>
          <w:color w:val="231F20"/>
          <w:spacing w:val="6"/>
        </w:rPr>
        <w:t>数据的作用还在于能让人们发现问题，并形成正确的判断与决策，告诉人们应</w:t>
      </w:r>
      <w:r>
        <w:rPr>
          <w:color w:val="231F20"/>
          <w:spacing w:val="5"/>
        </w:rPr>
        <w:t>该做</w:t>
      </w:r>
      <w:r>
        <w:rPr>
          <w:color w:val="231F20"/>
        </w:rPr>
        <w:t xml:space="preserve"> </w:t>
      </w:r>
      <w:r>
        <w:rPr>
          <w:color w:val="231F20"/>
        </w:rPr>
        <w:t>什么、怎么做。只要相信数据的力量，数据就能创造信任与价值，帮助人们作出正确的选</w:t>
      </w:r>
      <w:r>
        <w:rPr>
          <w:color w:val="231F20"/>
          <w:spacing w:val="11"/>
        </w:rPr>
        <w:t xml:space="preserve"> </w:t>
      </w:r>
      <w:r>
        <w:rPr>
          <w:color w:val="231F20"/>
        </w:rPr>
        <w:t>择。数据有助于分析人类社会的发展规律和自然界的发展规律，利用大数据分析结果可以</w:t>
      </w:r>
      <w:r>
        <w:rPr>
          <w:color w:val="231F20"/>
          <w:spacing w:val="2"/>
        </w:rPr>
        <w:t xml:space="preserve"> </w:t>
      </w:r>
      <w:r>
        <w:rPr>
          <w:color w:val="231F20"/>
          <w:spacing w:val="-1"/>
        </w:rPr>
        <w:t>归纳和演绎出事物的发展规律，掌握事物的发展规律有助于人们进行科学</w:t>
      </w:r>
      <w:r>
        <w:rPr>
          <w:color w:val="231F20"/>
          <w:spacing w:val="-2"/>
        </w:rPr>
        <w:t>决策。</w:t>
      </w:r>
    </w:p>
    <w:p>
      <w:pPr>
        <w:pStyle w:val="BodyText"/>
        <w:ind w:left="1222"/>
        <w:spacing w:before="74" w:line="235" w:lineRule="auto"/>
        <w:rPr/>
      </w:pPr>
      <w:r>
        <w:rPr>
          <w:rFonts w:ascii="Times New Roman" w:hAnsi="Times New Roman" w:eastAsia="Times New Roman" w:cs="Times New Roman"/>
          <w:color w:val="231F20"/>
          <w:spacing w:val="-7"/>
        </w:rPr>
        <w:t>4 </w:t>
      </w:r>
      <w:r>
        <w:rPr>
          <w:color w:val="231F20"/>
          <w:spacing w:val="-7"/>
        </w:rPr>
        <w:t>）保护个人隐私</w:t>
      </w:r>
    </w:p>
    <w:p>
      <w:pPr>
        <w:pStyle w:val="BodyText"/>
        <w:ind w:left="800" w:right="65" w:firstLine="438"/>
        <w:spacing w:before="54" w:line="277" w:lineRule="auto"/>
        <w:rPr/>
      </w:pPr>
      <w:r>
        <w:rPr>
          <w:color w:val="231F20"/>
          <w:spacing w:val="6"/>
        </w:rPr>
        <w:t>随着人们全面进入信息时代和数字经济时代，个人数据已</w:t>
      </w:r>
      <w:r>
        <w:rPr>
          <w:color w:val="231F20"/>
          <w:spacing w:val="5"/>
        </w:rPr>
        <w:t>成为时刻伴随着人们的个</w:t>
      </w:r>
      <w:r>
        <w:rPr>
          <w:color w:val="231F20"/>
        </w:rPr>
        <w:t xml:space="preserve"> </w:t>
      </w:r>
      <w:r>
        <w:rPr>
          <w:color w:val="231F20"/>
        </w:rPr>
        <w:t>人标签，成为识别个人身份、彰显个人能力、证明个人信用和体现个人行为习惯的重要信</w:t>
      </w:r>
      <w:r>
        <w:rPr>
          <w:color w:val="231F20"/>
          <w:spacing w:val="7"/>
        </w:rPr>
        <w:t xml:space="preserve"> </w:t>
      </w:r>
      <w:r>
        <w:rPr>
          <w:color w:val="231F20"/>
        </w:rPr>
        <w:t>息。在互联网经济中，个人数据对于每个人来说也是一种资产，但个人数据的所有权很难</w:t>
      </w:r>
      <w:r>
        <w:rPr>
          <w:color w:val="231F20"/>
          <w:spacing w:val="12"/>
        </w:rPr>
        <w:t xml:space="preserve"> </w:t>
      </w:r>
      <w:r>
        <w:rPr>
          <w:color w:val="231F20"/>
        </w:rPr>
        <w:t>进行清晰界定。国家不断出台相应的法律、法规以保障个人数据的安全，并以文件形式多</w:t>
      </w:r>
      <w:r>
        <w:rPr>
          <w:color w:val="231F20"/>
          <w:spacing w:val="2"/>
        </w:rPr>
        <w:t xml:space="preserve"> </w:t>
      </w:r>
      <w:r>
        <w:rPr>
          <w:color w:val="231F20"/>
        </w:rPr>
        <w:t>次强调数据的重要性和安全性，如我国出台并施行的《民法典》及其他法律、法规都包含</w:t>
      </w:r>
      <w:r>
        <w:rPr>
          <w:color w:val="231F20"/>
          <w:spacing w:val="12"/>
        </w:rPr>
        <w:t xml:space="preserve"> </w:t>
      </w:r>
      <w:r>
        <w:rPr>
          <w:color w:val="231F20"/>
        </w:rPr>
        <w:t>针对个人信息安全的相应规定。数据创造价值的目的是最大化地利用数据，而数据利用的</w:t>
      </w:r>
      <w:r>
        <w:rPr>
          <w:color w:val="231F20"/>
          <w:spacing w:val="6"/>
        </w:rPr>
        <w:t xml:space="preserve"> </w:t>
      </w:r>
      <w:r>
        <w:rPr>
          <w:color w:val="231F20"/>
        </w:rPr>
        <w:t>前提和基础是保护个人隐私。随着科学技术的不断发展，通过数据处理、计算、管理等措</w:t>
      </w:r>
      <w:r>
        <w:rPr>
          <w:color w:val="231F20"/>
          <w:spacing w:val="9"/>
        </w:rPr>
        <w:t xml:space="preserve"> </w:t>
      </w:r>
      <w:r>
        <w:rPr>
          <w:color w:val="231F20"/>
        </w:rPr>
        <w:t>施可有效防止个人隐私的泄露与滥用。国内外利用隐私计算平衡隐私保护和数据价值流转</w:t>
      </w:r>
    </w:p>
    <w:p>
      <w:pPr>
        <w:spacing w:line="277" w:lineRule="auto"/>
        <w:sectPr>
          <w:footerReference w:type="default" r:id="rId28"/>
          <w:pgSz w:w="10489" w:h="14741"/>
          <w:pgMar w:top="561" w:right="1077" w:bottom="734" w:left="340" w:header="0" w:footer="551" w:gutter="0"/>
        </w:sectPr>
        <w:rPr/>
      </w:pPr>
    </w:p>
    <w:p>
      <w:pPr>
        <w:spacing w:before="41" w:line="204" w:lineRule="auto"/>
        <w:jc w:val="right"/>
        <w:rPr>
          <w:sz w:val="18"/>
          <w:szCs w:val="18"/>
        </w:rPr>
      </w:pPr>
      <w:r>
        <w:rPr>
          <w:rFonts w:ascii="Microsoft YaHei" w:hAnsi="Microsoft YaHei" w:eastAsia="Microsoft YaHei" w:cs="Microsoft YaHei"/>
          <w:sz w:val="18"/>
          <w:szCs w:val="18"/>
          <w:color w:val="4B4C4D"/>
          <w:spacing w:val="-2"/>
        </w:rPr>
        <w:t>第 </w:t>
      </w:r>
      <w:r>
        <w:rPr>
          <w:rFonts w:ascii="Arial" w:hAnsi="Arial" w:eastAsia="Arial" w:cs="Arial"/>
          <w:sz w:val="18"/>
          <w:szCs w:val="18"/>
          <w:b/>
          <w:bCs/>
          <w:color w:val="4B4C4D"/>
          <w:spacing w:val="-2"/>
        </w:rPr>
        <w:t>1 </w:t>
      </w:r>
      <w:r>
        <w:rPr>
          <w:rFonts w:ascii="Microsoft YaHei" w:hAnsi="Microsoft YaHei" w:eastAsia="Microsoft YaHei" w:cs="Microsoft YaHei"/>
          <w:sz w:val="18"/>
          <w:szCs w:val="18"/>
          <w:color w:val="4B4C4D"/>
          <w:spacing w:val="-2"/>
        </w:rPr>
        <w:t>章</w:t>
      </w:r>
      <w:r>
        <w:rPr>
          <w:rFonts w:ascii="Microsoft YaHei" w:hAnsi="Microsoft YaHei" w:eastAsia="Microsoft YaHei" w:cs="Microsoft YaHei"/>
          <w:sz w:val="18"/>
          <w:szCs w:val="18"/>
          <w:color w:val="4B4C4D"/>
          <w:spacing w:val="9"/>
        </w:rPr>
        <w:t xml:space="preserve">   </w:t>
      </w:r>
      <w:r>
        <w:rPr>
          <w:rFonts w:ascii="Microsoft YaHei" w:hAnsi="Microsoft YaHei" w:eastAsia="Microsoft YaHei" w:cs="Microsoft YaHei"/>
          <w:sz w:val="18"/>
          <w:szCs w:val="18"/>
          <w:color w:val="4B4C4D"/>
          <w:spacing w:val="-2"/>
        </w:rPr>
        <w:t>数据与数据治理  </w:t>
      </w:r>
      <w:r>
        <w:rPr>
          <w:sz w:val="18"/>
          <w:szCs w:val="18"/>
          <w:position w:val="-2"/>
        </w:rPr>
        <w:drawing>
          <wp:inline distT="0" distB="0" distL="0" distR="0">
            <wp:extent cx="339153" cy="105117"/>
            <wp:effectExtent l="0" t="0" r="0" b="0"/>
            <wp:docPr id="56" name="IM 56"/>
            <wp:cNvGraphicFramePr/>
            <a:graphic>
              <a:graphicData uri="http://schemas.openxmlformats.org/drawingml/2006/picture">
                <pic:pic>
                  <pic:nvPicPr>
                    <pic:cNvPr id="56" name="IM 56"/>
                    <pic:cNvPicPr/>
                  </pic:nvPicPr>
                  <pic:blipFill>
                    <a:blip r:embed="rId36"/>
                    <a:stretch>
                      <a:fillRect/>
                    </a:stretch>
                  </pic:blipFill>
                  <pic:spPr>
                    <a:xfrm rot="0">
                      <a:off x="0" y="0"/>
                      <a:ext cx="339153" cy="105117"/>
                    </a:xfrm>
                    <a:prstGeom prst="rect">
                      <a:avLst/>
                    </a:prstGeom>
                  </pic:spPr>
                </pic:pic>
              </a:graphicData>
            </a:graphic>
          </wp:inline>
        </w:drawing>
      </w:r>
    </w:p>
    <w:p>
      <w:pPr>
        <w:spacing w:line="306" w:lineRule="auto"/>
        <w:rPr>
          <w:rFonts w:ascii="Arial"/>
          <w:sz w:val="21"/>
        </w:rPr>
      </w:pPr>
      <w:r/>
    </w:p>
    <w:p>
      <w:pPr>
        <w:pStyle w:val="BodyText"/>
        <w:ind w:left="14" w:right="647" w:firstLine="9"/>
        <w:spacing w:before="69" w:line="253" w:lineRule="auto"/>
        <w:rPr/>
      </w:pPr>
      <w:r>
        <w:rPr>
          <w:color w:val="231F20"/>
        </w:rPr>
        <w:t>已经取得了积极成效。运用隐私计算技术，“去标识化”后的数据可以满足绝</w:t>
      </w:r>
      <w:r>
        <w:rPr>
          <w:color w:val="231F20"/>
          <w:spacing w:val="-1"/>
        </w:rPr>
        <w:t>大部分个人</w:t>
      </w:r>
      <w:r>
        <w:rPr>
          <w:color w:val="231F20"/>
        </w:rPr>
        <w:t xml:space="preserve"> </w:t>
      </w:r>
      <w:r>
        <w:rPr>
          <w:color w:val="231F20"/>
          <w:spacing w:val="-6"/>
        </w:rPr>
        <w:t>隐私保护的要求。</w:t>
      </w:r>
    </w:p>
    <w:p>
      <w:pPr>
        <w:pStyle w:val="BodyText"/>
        <w:ind w:left="422"/>
        <w:spacing w:before="72" w:line="219" w:lineRule="auto"/>
        <w:rPr/>
      </w:pPr>
      <w:r>
        <w:rPr>
          <w:rFonts w:ascii="Times New Roman" w:hAnsi="Times New Roman" w:eastAsia="Times New Roman" w:cs="Times New Roman"/>
          <w:color w:val="231F20"/>
          <w:spacing w:val="-1"/>
        </w:rPr>
        <w:t>2. </w:t>
      </w:r>
      <w:r>
        <w:rPr>
          <w:color w:val="231F20"/>
          <w:spacing w:val="-1"/>
        </w:rPr>
        <w:t>数据对于企业的价值</w:t>
      </w:r>
    </w:p>
    <w:p>
      <w:pPr>
        <w:pStyle w:val="BodyText"/>
        <w:ind w:left="4" w:right="643" w:firstLine="423"/>
        <w:spacing w:before="74" w:line="252" w:lineRule="auto"/>
        <w:rPr/>
      </w:pPr>
      <w:r>
        <w:rPr>
          <w:color w:val="231F20"/>
        </w:rPr>
        <w:t>数据已经成为新的生产要素，在数字经济时代拥有巨大的潜力。数据的使用成为提高</w:t>
      </w:r>
      <w:r>
        <w:rPr>
          <w:color w:val="231F20"/>
          <w:spacing w:val="15"/>
        </w:rPr>
        <w:t xml:space="preserve"> </w:t>
      </w:r>
      <w:r>
        <w:rPr>
          <w:color w:val="231F20"/>
          <w:spacing w:val="-1"/>
        </w:rPr>
        <w:t>企业竞争力的关键要素。数据对于企业的价值是由市场需求和经营管理两部分</w:t>
      </w:r>
      <w:r>
        <w:rPr>
          <w:color w:val="231F20"/>
          <w:spacing w:val="-2"/>
        </w:rPr>
        <w:t>决定的。</w:t>
      </w:r>
    </w:p>
    <w:p>
      <w:pPr>
        <w:pStyle w:val="BodyText"/>
        <w:ind w:right="644" w:firstLine="428"/>
        <w:spacing w:before="81" w:line="279" w:lineRule="auto"/>
        <w:rPr/>
      </w:pPr>
      <w:r>
        <w:rPr>
          <w:color w:val="231F20"/>
          <w:spacing w:val="6"/>
        </w:rPr>
        <w:t>从市场需求这一角度来说，数据要素的价值在于重建了对市场</w:t>
      </w:r>
      <w:r>
        <w:rPr>
          <w:color w:val="231F20"/>
          <w:spacing w:val="5"/>
        </w:rPr>
        <w:t>理解、预测和控制的</w:t>
      </w:r>
      <w:r>
        <w:rPr>
          <w:color w:val="231F20"/>
        </w:rPr>
        <w:t xml:space="preserve"> </w:t>
      </w:r>
      <w:r>
        <w:rPr>
          <w:color w:val="231F20"/>
        </w:rPr>
        <w:t>新体系、新模式。这种模式本质上是用数据驱动的决策替代经验决策，即基于数据加上算</w:t>
      </w:r>
      <w:r>
        <w:rPr>
          <w:color w:val="231F20"/>
          <w:spacing w:val="11"/>
        </w:rPr>
        <w:t xml:space="preserve"> </w:t>
      </w:r>
      <w:r>
        <w:rPr>
          <w:color w:val="231F20"/>
        </w:rPr>
        <w:t>力和算法可以对物理世界进行描述、原因分析、结果预测和科学决策。对于企业来说，数</w:t>
      </w:r>
      <w:r>
        <w:rPr>
          <w:color w:val="231F20"/>
          <w:spacing w:val="11"/>
        </w:rPr>
        <w:t xml:space="preserve"> </w:t>
      </w:r>
      <w:r>
        <w:rPr>
          <w:color w:val="231F20"/>
          <w:spacing w:val="1"/>
        </w:rPr>
        <w:t>据要素创造价值不在数据本身，数据只有与基于</w:t>
      </w:r>
      <w:r>
        <w:rPr>
          <w:color w:val="231F20"/>
        </w:rPr>
        <w:t>商业实践的算法、模型聚合在一起才能创 </w:t>
      </w:r>
      <w:r>
        <w:rPr>
          <w:color w:val="231F20"/>
          <w:spacing w:val="1"/>
        </w:rPr>
        <w:t>造价值。数据要素融入劳动、资本、技术等每</w:t>
      </w:r>
      <w:r>
        <w:rPr>
          <w:color w:val="231F20"/>
        </w:rPr>
        <w:t>个单一要素中，能够提高单一要素的生产效 </w:t>
      </w:r>
      <w:r>
        <w:rPr>
          <w:color w:val="231F20"/>
        </w:rPr>
        <w:t>率，单一要素的价值会倍增，更重要的是提高了这些传统要素之间的资源配置效率。通俗</w:t>
      </w:r>
      <w:r>
        <w:rPr>
          <w:color w:val="231F20"/>
          <w:spacing w:val="12"/>
        </w:rPr>
        <w:t xml:space="preserve"> </w:t>
      </w:r>
      <w:r>
        <w:rPr>
          <w:color w:val="231F20"/>
          <w:spacing w:val="6"/>
        </w:rPr>
        <w:t>地说，数据本身生产不了汽车和房子，但是数据要素与各要素聚合有助于低成本</w:t>
      </w:r>
      <w:r>
        <w:rPr>
          <w:color w:val="231F20"/>
          <w:spacing w:val="5"/>
        </w:rPr>
        <w:t>、高效</w:t>
      </w:r>
      <w:r>
        <w:rPr>
          <w:color w:val="231F20"/>
        </w:rPr>
        <w:t xml:space="preserve"> </w:t>
      </w:r>
      <w:r>
        <w:rPr>
          <w:color w:val="231F20"/>
        </w:rPr>
        <w:t>率、高质量地生产汽车和房子。数据要素推动了传统生产要素的革命性聚变与裂变，成为</w:t>
      </w:r>
      <w:r>
        <w:rPr>
          <w:color w:val="231F20"/>
          <w:spacing w:val="10"/>
        </w:rPr>
        <w:t xml:space="preserve"> </w:t>
      </w:r>
      <w:r>
        <w:rPr>
          <w:color w:val="231F20"/>
        </w:rPr>
        <w:t>驱动经济持续增长的关键因素，这才是数据要素的真正价值所在。数据有助于企业激活其</w:t>
      </w:r>
      <w:r>
        <w:rPr>
          <w:color w:val="231F20"/>
          <w:spacing w:val="12"/>
        </w:rPr>
        <w:t xml:space="preserve"> </w:t>
      </w:r>
      <w:r>
        <w:rPr>
          <w:color w:val="231F20"/>
        </w:rPr>
        <w:t>他要素，提高产品研发和商业模式的创新能力，提高个体及组织的创新活力。数据要素的</w:t>
      </w:r>
      <w:r>
        <w:rPr>
          <w:color w:val="231F20"/>
          <w:spacing w:val="4"/>
        </w:rPr>
        <w:t xml:space="preserve"> </w:t>
      </w:r>
      <w:r>
        <w:rPr>
          <w:color w:val="231F20"/>
        </w:rPr>
        <w:t>价值在于使企业用更少的物质资源创造更多的物质财富和服务，并对传统生产要素产生替</w:t>
      </w:r>
      <w:r>
        <w:rPr>
          <w:color w:val="231F20"/>
          <w:spacing w:val="5"/>
        </w:rPr>
        <w:t xml:space="preserve"> </w:t>
      </w:r>
      <w:r>
        <w:rPr>
          <w:color w:val="231F20"/>
          <w:spacing w:val="-7"/>
        </w:rPr>
        <w:t>代效应。</w:t>
      </w:r>
    </w:p>
    <w:p>
      <w:pPr>
        <w:pStyle w:val="BodyText"/>
        <w:ind w:right="567" w:firstLine="428"/>
        <w:spacing w:before="76" w:line="280" w:lineRule="auto"/>
        <w:rPr/>
      </w:pPr>
      <w:r>
        <w:rPr>
          <w:color w:val="231F20"/>
          <w:spacing w:val="6"/>
        </w:rPr>
        <w:t>从经营管理的层面来看，数据的价值主要体现在记录、备份、监督、</w:t>
      </w:r>
      <w:r>
        <w:rPr>
          <w:color w:val="231F20"/>
          <w:spacing w:val="5"/>
        </w:rPr>
        <w:t>纠偏和预测方 </w:t>
      </w:r>
      <w:r>
        <w:rPr>
          <w:color w:val="231F20"/>
        </w:rPr>
        <w:t>面。数据本身被记录下来其实是一种操作的基础，脱离了数据记录，后续的操作将难以进</w:t>
      </w:r>
      <w:r>
        <w:rPr>
          <w:color w:val="231F20"/>
          <w:spacing w:val="6"/>
        </w:rPr>
        <w:t xml:space="preserve">  </w:t>
      </w:r>
      <w:r>
        <w:rPr>
          <w:color w:val="231F20"/>
        </w:rPr>
        <w:t>行。数据记录对于企业来说更多的是以前操作过程的虚拟备份，记录了不同操作的步骤及</w:t>
      </w:r>
      <w:r>
        <w:rPr>
          <w:color w:val="231F20"/>
          <w:spacing w:val="5"/>
        </w:rPr>
        <w:t xml:space="preserve">  </w:t>
      </w:r>
      <w:r>
        <w:rPr>
          <w:color w:val="231F20"/>
          <w:spacing w:val="-3"/>
        </w:rPr>
        <w:t>次序，使得操作的情景有了复原的可能性，数据记录和备份可以看作数据的“初始价值”。</w:t>
      </w:r>
      <w:r>
        <w:rPr>
          <w:color w:val="231F20"/>
          <w:spacing w:val="9"/>
        </w:rPr>
        <w:t xml:space="preserve"> </w:t>
      </w:r>
      <w:r>
        <w:rPr>
          <w:color w:val="231F20"/>
        </w:rPr>
        <w:t>在万物互联互通时代，不同主体之间的交互不断增加，情景复原除了具有纪念意义外，还</w:t>
      </w:r>
      <w:r>
        <w:rPr>
          <w:color w:val="231F20"/>
          <w:spacing w:val="6"/>
        </w:rPr>
        <w:t xml:space="preserve">  </w:t>
      </w:r>
      <w:r>
        <w:rPr>
          <w:color w:val="231F20"/>
        </w:rPr>
        <w:t>有一个重要的价值就是事后责任追究，让每个主体对自己的行为承担责任，使各种有效连</w:t>
      </w:r>
      <w:r>
        <w:rPr>
          <w:color w:val="231F20"/>
          <w:spacing w:val="6"/>
        </w:rPr>
        <w:t xml:space="preserve">  </w:t>
      </w:r>
      <w:r>
        <w:rPr>
          <w:color w:val="231F20"/>
        </w:rPr>
        <w:t>接成为一种可能。企业备份数据还有更重要的溯源价值，即对于每一操作环节进行有效监 </w:t>
      </w:r>
      <w:r>
        <w:rPr>
          <w:color w:val="231F20"/>
        </w:rPr>
        <w:t>督，一旦出现问题就可迅速响应并采取应对措施，具体问题具体分析，以利于事后责任追</w:t>
      </w:r>
      <w:r>
        <w:rPr>
          <w:color w:val="231F20"/>
          <w:spacing w:val="5"/>
        </w:rPr>
        <w:t xml:space="preserve">  </w:t>
      </w:r>
      <w:r>
        <w:rPr>
          <w:color w:val="231F20"/>
        </w:rPr>
        <w:t>究，最大限度地降低企业的风险成本。作为一类特定系统，企业在运转</w:t>
      </w:r>
      <w:r>
        <w:rPr>
          <w:color w:val="231F20"/>
          <w:spacing w:val="-1"/>
        </w:rPr>
        <w:t>过程中需要保证内</w:t>
      </w:r>
      <w:r>
        <w:rPr>
          <w:color w:val="231F20"/>
        </w:rPr>
        <w:t xml:space="preserve">  </w:t>
      </w:r>
      <w:r>
        <w:rPr>
          <w:color w:val="231F20"/>
          <w:spacing w:val="2"/>
        </w:rPr>
        <w:t>部各方面的平衡，数据展示出的差异有利于纠偏，防止因打破平衡而造成不必要的损失。</w:t>
      </w:r>
      <w:r>
        <w:rPr>
          <w:color w:val="231F20"/>
          <w:spacing w:val="16"/>
        </w:rPr>
        <w:t xml:space="preserve"> </w:t>
      </w:r>
      <w:r>
        <w:rPr>
          <w:color w:val="231F20"/>
          <w:spacing w:val="3"/>
        </w:rPr>
        <w:t>伴随着数据技术的不断发展，让数据驱动决策</w:t>
      </w:r>
      <w:r>
        <w:rPr>
          <w:color w:val="231F20"/>
          <w:spacing w:val="2"/>
        </w:rPr>
        <w:t>帮助企业降本增效成为各企业的战略目标。</w:t>
      </w:r>
      <w:r>
        <w:rPr>
          <w:color w:val="231F20"/>
        </w:rPr>
        <w:t xml:space="preserve"> </w:t>
      </w:r>
      <w:r>
        <w:rPr>
          <w:color w:val="231F20"/>
        </w:rPr>
        <w:t>数据给予企业的最重要价值之一还包括对未来业务方向的预测作用。企业对所记录的各种</w:t>
      </w:r>
      <w:r>
        <w:rPr>
          <w:color w:val="231F20"/>
          <w:spacing w:val="3"/>
        </w:rPr>
        <w:t xml:space="preserve">  </w:t>
      </w:r>
      <w:r>
        <w:rPr>
          <w:color w:val="231F20"/>
        </w:rPr>
        <w:t>数据进行深入比较和研究，发现其中规律特征，依此对系统及业务模式进行优化升级，根</w:t>
      </w:r>
      <w:r>
        <w:rPr>
          <w:color w:val="231F20"/>
          <w:spacing w:val="6"/>
        </w:rPr>
        <w:t xml:space="preserve">  </w:t>
      </w:r>
      <w:r>
        <w:rPr>
          <w:color w:val="231F20"/>
          <w:spacing w:val="-1"/>
        </w:rPr>
        <w:t>据预测结果了解市场长期演变方向，对企业有效制定可持续发展规划意义重</w:t>
      </w:r>
      <w:r>
        <w:rPr>
          <w:color w:val="231F20"/>
          <w:spacing w:val="-2"/>
        </w:rPr>
        <w:t>大。</w:t>
      </w:r>
    </w:p>
    <w:p>
      <w:pPr>
        <w:pStyle w:val="BodyText"/>
        <w:ind w:left="426"/>
        <w:spacing w:before="74" w:line="219" w:lineRule="auto"/>
        <w:rPr/>
      </w:pPr>
      <w:r>
        <w:pict>
          <v:shape id="_x0000_s42" style="position:absolute;margin-left:42.1765pt;margin-top:4.06563pt;mso-position-vertical-relative:text;mso-position-horizontal-relative:text;width:72.9pt;height:9.9pt;z-index:-251615232;" filled="false" strokecolor="#231F20" strokeweight="0.17pt" coordsize="1458,197" coordorigin="0,0" path="m108,188l108,174l164,174l164,192l175,185c175,173,174,156,174,134l181,129l169,119l163,126l141,126l141,93l192,93l178,79l169,88l141,88l141,71l148,66l130,58c131,68,131,78,131,88l93,88c94,75,95,63,95,53l164,53l164,63l175,58c175,50,174,38,174,22l181,18l169,7l163,14l96,14l83,6c84,18,84,37,84,63c83,90,80,113,74,133c68,153,58,171,46,187l49,189c74,164,88,132,92,93l131,93l131,126l108,126l96,119c97,130,97,142,97,155c97,168,97,181,96,193l108,188xm164,48l95,48l95,18l164,18l164,48xm164,169l108,169l108,131l164,131l164,169xm49,55l81,55l68,41l58,50l49,50l49,18l55,12l36,2c37,11,37,27,37,50l2,50l9,56l18,55l37,55l37,96c16,107,4,112,1,113l13,128c14,124,22,117,37,106l37,164c37,168,36,170,33,171c30,171,22,170,10,168l10,171c25,177,32,183,31,188c42,184,48,177,49,167l49,100l77,79l76,76l49,91l49,55xm1374,1c1368,19,1360,36,1349,52c1338,69,1327,81,1315,91l1316,93c1329,85,1340,75,1351,64c1362,53,1372,38,1381,21c1394,50,1414,72,1439,87c1441,82,1447,79,1455,77l1455,75c1440,72,1427,65,1415,55c1403,45,1392,32,1383,17l1391,12l1374,1xm1372,82l1353,73c1353,108,1352,131,1349,140c1347,149,1343,157,1338,164c1333,172,1325,179,1314,187l1315,190c1331,182,1342,173,1348,165c1355,157,1359,147,1361,136c1363,125,1365,109,1365,88l1372,82xm1411,188c1410,176,1410,165,1410,155l1410,88l1417,82l1398,73c1399,84,1399,95,1399,108l1399,159c1399,170,1399,182,1398,195l1411,188xm1297,146c1297,160,1297,175,1296,192l1310,186c1309,174,1309,160,1309,146l1309,68l1314,64l1302,57c1312,37,1318,23,1321,17l1328,12l1310,1c1306,20,1300,36,1295,48c1289,61,1284,72,1278,81c1273,90,1268,97,1263,103l1265,105c1274,98,1285,84,1297,65l1297,146xe">
            <v:stroke joinstyle="miter" miterlimit="4"/>
          </v:shape>
        </w:pict>
      </w:r>
      <w:r>
        <w:rPr>
          <w:rFonts w:ascii="Times New Roman" w:hAnsi="Times New Roman" w:eastAsia="Times New Roman" w:cs="Times New Roman"/>
          <w:color w:val="231F20"/>
          <w:spacing w:val="-1"/>
        </w:rPr>
        <w:t>3. </w:t>
      </w:r>
      <w:r>
        <w:rPr>
          <w:color w:val="231F20"/>
          <w:spacing w:val="-1"/>
        </w:rPr>
        <w:t>数据对于国家的价值</w:t>
      </w:r>
    </w:p>
    <w:p>
      <w:pPr>
        <w:pStyle w:val="BodyText"/>
        <w:ind w:right="587" w:firstLine="427"/>
        <w:spacing w:before="75" w:line="274" w:lineRule="auto"/>
        <w:rPr/>
      </w:pPr>
      <w:r>
        <w:rPr>
          <w:color w:val="231F20"/>
        </w:rPr>
        <w:t>数据作为生产要素的一个重要背景是数字经济的蓬勃发</w:t>
      </w:r>
      <w:r>
        <w:rPr>
          <w:color w:val="231F20"/>
          <w:spacing w:val="-1"/>
        </w:rPr>
        <w:t>展。数字经济以数据为关键生 </w:t>
      </w:r>
      <w:r>
        <w:rPr>
          <w:color w:val="231F20"/>
        </w:rPr>
        <w:t>产要素，以现代信息网络为重要载体，以信息通信技术的有效使用为效率提</w:t>
      </w:r>
      <w:r>
        <w:rPr>
          <w:color w:val="231F20"/>
          <w:spacing w:val="-1"/>
        </w:rPr>
        <w:t>升和经济结构 </w:t>
      </w:r>
      <w:r>
        <w:rPr>
          <w:color w:val="231F20"/>
        </w:rPr>
        <w:t>优化的重要推动力，是以新一代信息技术和产业为依托的新经济形态。数字</w:t>
      </w:r>
      <w:r>
        <w:rPr>
          <w:color w:val="231F20"/>
          <w:spacing w:val="-1"/>
        </w:rPr>
        <w:t>经济的构成明 </w:t>
      </w:r>
      <w:r>
        <w:rPr>
          <w:color w:val="231F20"/>
          <w:spacing w:val="2"/>
        </w:rPr>
        <w:t>显要比传统的农业经济和工业经济更加广泛。农业经济体系属于单层结构，以农业为主，</w:t>
      </w:r>
      <w:r>
        <w:rPr>
          <w:color w:val="231F20"/>
        </w:rPr>
        <w:t xml:space="preserve"> </w:t>
      </w:r>
      <w:r>
        <w:rPr>
          <w:color w:val="231F20"/>
          <w:spacing w:val="5"/>
        </w:rPr>
        <w:t>配合以其他行业，以人力、畜力和自然力为动力，使用手工工具，以家庭为单位自给自</w:t>
      </w:r>
      <w:r>
        <w:rPr>
          <w:color w:val="231F20"/>
          <w:spacing w:val="4"/>
        </w:rPr>
        <w:t xml:space="preserve">  </w:t>
      </w:r>
      <w:r>
        <w:rPr>
          <w:color w:val="231F20"/>
        </w:rPr>
        <w:t>足，社会分工不明显，行业间相对独立；工业经济体系是两层结构，即提供能源动力和行</w:t>
      </w:r>
    </w:p>
    <w:p>
      <w:pPr>
        <w:spacing w:line="274" w:lineRule="auto"/>
        <w:sectPr>
          <w:footerReference w:type="default" r:id="rId35"/>
          <w:pgSz w:w="10489" w:h="14741"/>
          <w:pgMar w:top="679" w:right="489" w:bottom="731" w:left="1141" w:header="0" w:footer="551" w:gutter="0"/>
        </w:sectPr>
        <w:rPr/>
      </w:pPr>
    </w:p>
    <w:p>
      <w:pPr>
        <w:spacing w:before="78" w:line="215" w:lineRule="auto"/>
        <w:rPr>
          <w:rFonts w:ascii="Microsoft YaHei" w:hAnsi="Microsoft YaHei" w:eastAsia="Microsoft YaHei" w:cs="Microsoft YaHei"/>
          <w:sz w:val="18"/>
          <w:szCs w:val="18"/>
        </w:rPr>
      </w:pPr>
      <w:r>
        <w:drawing>
          <wp:anchor distT="0" distB="0" distL="0" distR="0" simplePos="0" relativeHeight="251709440" behindDoc="1" locked="0" layoutInCell="1" allowOverlap="1">
            <wp:simplePos x="0" y="0"/>
            <wp:positionH relativeFrom="column">
              <wp:posOffset>108299</wp:posOffset>
            </wp:positionH>
            <wp:positionV relativeFrom="paragraph">
              <wp:posOffset>79371</wp:posOffset>
            </wp:positionV>
            <wp:extent cx="83329" cy="46985"/>
            <wp:effectExtent l="0" t="0" r="0" b="0"/>
            <wp:wrapNone/>
            <wp:docPr id="58" name="IM 58"/>
            <wp:cNvGraphicFramePr/>
            <a:graphic>
              <a:graphicData uri="http://schemas.openxmlformats.org/drawingml/2006/picture">
                <pic:pic>
                  <pic:nvPicPr>
                    <pic:cNvPr id="58" name="IM 58"/>
                    <pic:cNvPicPr/>
                  </pic:nvPicPr>
                  <pic:blipFill>
                    <a:blip r:embed="rId38"/>
                    <a:stretch>
                      <a:fillRect/>
                    </a:stretch>
                  </pic:blipFill>
                  <pic:spPr>
                    <a:xfrm rot="0">
                      <a:off x="0" y="0"/>
                      <a:ext cx="83329" cy="46985"/>
                    </a:xfrm>
                    <a:prstGeom prst="rect">
                      <a:avLst/>
                    </a:prstGeom>
                  </pic:spPr>
                </pic:pic>
              </a:graphicData>
            </a:graphic>
          </wp:anchor>
        </w:drawing>
      </w:r>
      <w:r>
        <w:drawing>
          <wp:anchor distT="0" distB="0" distL="0" distR="0" simplePos="0" relativeHeight="251708416" behindDoc="1" locked="0" layoutInCell="1" allowOverlap="1">
            <wp:simplePos x="0" y="0"/>
            <wp:positionH relativeFrom="column">
              <wp:posOffset>38548</wp:posOffset>
            </wp:positionH>
            <wp:positionV relativeFrom="paragraph">
              <wp:posOffset>120488</wp:posOffset>
            </wp:positionV>
            <wp:extent cx="153080" cy="75618"/>
            <wp:effectExtent l="0" t="0" r="0" b="0"/>
            <wp:wrapNone/>
            <wp:docPr id="60" name="IM 60"/>
            <wp:cNvGraphicFramePr/>
            <a:graphic>
              <a:graphicData uri="http://schemas.openxmlformats.org/drawingml/2006/picture">
                <pic:pic>
                  <pic:nvPicPr>
                    <pic:cNvPr id="60" name="IM 60"/>
                    <pic:cNvPicPr/>
                  </pic:nvPicPr>
                  <pic:blipFill>
                    <a:blip r:embed="rId39"/>
                    <a:stretch>
                      <a:fillRect/>
                    </a:stretch>
                  </pic:blipFill>
                  <pic:spPr>
                    <a:xfrm rot="0">
                      <a:off x="0" y="0"/>
                      <a:ext cx="153080" cy="75618"/>
                    </a:xfrm>
                    <a:prstGeom prst="rect">
                      <a:avLst/>
                    </a:prstGeom>
                  </pic:spPr>
                </pic:pic>
              </a:graphicData>
            </a:graphic>
          </wp:anchor>
        </w:drawing>
      </w:r>
      <w:r>
        <w:rPr>
          <w:rFonts w:ascii="Microsoft YaHei" w:hAnsi="Microsoft YaHei" w:eastAsia="Microsoft YaHei" w:cs="Microsoft YaHei"/>
          <w:sz w:val="18"/>
          <w:szCs w:val="18"/>
          <w:color w:val="D9D9D9"/>
          <w:position w:val="-5"/>
        </w:rPr>
        <w:drawing>
          <wp:inline distT="0" distB="0" distL="0" distR="0">
            <wp:extent cx="369303" cy="250002"/>
            <wp:effectExtent l="0" t="0" r="0" b="0"/>
            <wp:docPr id="62" name="IM 62"/>
            <wp:cNvGraphicFramePr/>
            <a:graphic>
              <a:graphicData uri="http://schemas.openxmlformats.org/drawingml/2006/picture">
                <pic:pic>
                  <pic:nvPicPr>
                    <pic:cNvPr id="62" name="IM 62"/>
                    <pic:cNvPicPr/>
                  </pic:nvPicPr>
                  <pic:blipFill>
                    <a:blip r:embed="rId40"/>
                    <a:stretch>
                      <a:fillRect/>
                    </a:stretch>
                  </pic:blipFill>
                  <pic:spPr>
                    <a:xfrm rot="0">
                      <a:off x="0" y="0"/>
                      <a:ext cx="369303" cy="250002"/>
                    </a:xfrm>
                    <a:prstGeom prst="rect">
                      <a:avLst/>
                    </a:prstGeom>
                  </pic:spPr>
                </pic:pic>
              </a:graphicData>
            </a:graphic>
          </wp:inline>
        </w:drawing>
      </w:r>
      <w:r>
        <w:rPr>
          <w:rFonts w:ascii="Microsoft YaHei" w:hAnsi="Microsoft YaHei" w:eastAsia="Microsoft YaHei" w:cs="Microsoft YaHei"/>
          <w:sz w:val="18"/>
          <w:szCs w:val="18"/>
          <w:color w:val="D9D9D9"/>
          <w:spacing w:val="49"/>
        </w:rPr>
        <w:t xml:space="preserve"> </w:t>
      </w:r>
      <w:r>
        <w:rPr>
          <w:rFonts w:ascii="Microsoft YaHei" w:hAnsi="Microsoft YaHei" w:eastAsia="Microsoft YaHei" w:cs="Microsoft YaHei"/>
          <w:sz w:val="18"/>
          <w:szCs w:val="18"/>
          <w:color w:val="D9D9D9"/>
          <w:spacing w:val="2"/>
        </w:rPr>
        <w:t>数据治理</w:t>
      </w:r>
      <w:r>
        <w:rPr>
          <w:rFonts w:ascii="Microsoft YaHei" w:hAnsi="Microsoft YaHei" w:eastAsia="Microsoft YaHei" w:cs="Microsoft YaHei"/>
          <w:sz w:val="18"/>
          <w:szCs w:val="18"/>
          <w:color w:val="D9D9D9"/>
          <w:spacing w:val="48"/>
          <w:w w:val="101"/>
        </w:rPr>
        <w:t xml:space="preserve"> </w:t>
      </w:r>
      <w:r>
        <w:rPr>
          <w:rFonts w:ascii="Microsoft YaHei" w:hAnsi="Microsoft YaHei" w:eastAsia="Microsoft YaHei" w:cs="Microsoft YaHei"/>
          <w:sz w:val="18"/>
          <w:szCs w:val="18"/>
          <w:color w:val="4B4C4D"/>
          <w:spacing w:val="2"/>
        </w:rPr>
        <w:t>理论、方法与实践</w:t>
      </w:r>
    </w:p>
    <w:p>
      <w:pPr>
        <w:spacing w:line="333" w:lineRule="auto"/>
        <w:rPr>
          <w:rFonts w:ascii="Arial"/>
          <w:sz w:val="21"/>
        </w:rPr>
      </w:pPr>
      <w:r/>
    </w:p>
    <w:p>
      <w:pPr>
        <w:pStyle w:val="BodyText"/>
        <w:ind w:left="577" w:right="32"/>
        <w:spacing w:before="68" w:line="277" w:lineRule="auto"/>
        <w:jc w:val="both"/>
        <w:rPr/>
      </w:pPr>
      <w:r>
        <w:rPr>
          <w:color w:val="231F20"/>
        </w:rPr>
        <w:t>业制造设备的装备制造产业，以及工业化后的各行各业形成分工合作的工业体系。数</w:t>
      </w:r>
      <w:r>
        <w:rPr>
          <w:color w:val="231F20"/>
          <w:spacing w:val="-1"/>
        </w:rPr>
        <w:t>字经 </w:t>
      </w:r>
      <w:r>
        <w:rPr>
          <w:color w:val="231F20"/>
        </w:rPr>
        <w:t>济体系则可分为</w:t>
      </w:r>
      <w:r>
        <w:rPr>
          <w:color w:val="231F20"/>
          <w:spacing w:val="-43"/>
        </w:rPr>
        <w:t xml:space="preserve"> </w:t>
      </w:r>
      <w:r>
        <w:rPr>
          <w:rFonts w:ascii="Times New Roman" w:hAnsi="Times New Roman" w:eastAsia="Times New Roman" w:cs="Times New Roman"/>
          <w:color w:val="231F20"/>
        </w:rPr>
        <w:t>3 </w:t>
      </w:r>
      <w:r>
        <w:rPr>
          <w:color w:val="231F20"/>
        </w:rPr>
        <w:t>个层次：提供核心动能的信息技术及其装备产</w:t>
      </w:r>
      <w:r>
        <w:rPr>
          <w:color w:val="231F20"/>
          <w:spacing w:val="-1"/>
        </w:rPr>
        <w:t>业、深度信息化的各行各 </w:t>
      </w:r>
      <w:r>
        <w:rPr>
          <w:color w:val="231F20"/>
          <w:spacing w:val="2"/>
        </w:rPr>
        <w:t>业以及跨行业数据融合应用的数据增值产业。数字经济是新兴技术和先进生产力的代表，</w:t>
      </w:r>
      <w:r>
        <w:rPr>
          <w:color w:val="231F20"/>
          <w:spacing w:val="4"/>
        </w:rPr>
        <w:t xml:space="preserve"> </w:t>
      </w:r>
      <w:r>
        <w:rPr>
          <w:color w:val="231F20"/>
        </w:rPr>
        <w:t>把握数字经济发展大势，以信息化培育新动能，用新动能推动新发展，已经成为全球</w:t>
      </w:r>
      <w:r>
        <w:rPr>
          <w:color w:val="231F20"/>
          <w:spacing w:val="-1"/>
        </w:rPr>
        <w:t>经济 </w:t>
      </w:r>
      <w:r>
        <w:rPr>
          <w:color w:val="231F20"/>
        </w:rPr>
        <w:t>发展的共识。近年来，在以习近平同志为核心的党中央的坚强领导下，我国数字经济</w:t>
      </w:r>
      <w:r>
        <w:rPr>
          <w:color w:val="231F20"/>
          <w:spacing w:val="-1"/>
        </w:rPr>
        <w:t>已初 </w:t>
      </w:r>
      <w:r>
        <w:rPr>
          <w:color w:val="231F20"/>
          <w:spacing w:val="6"/>
        </w:rPr>
        <w:t>步建立了顶层引领、横向联动、纵向贯通的战略推进体系，并取得了较好的成</w:t>
      </w:r>
      <w:r>
        <w:rPr>
          <w:color w:val="231F20"/>
          <w:spacing w:val="5"/>
        </w:rPr>
        <w:t>绩。据统</w:t>
      </w:r>
      <w:r>
        <w:rPr>
          <w:color w:val="231F20"/>
        </w:rPr>
        <w:t xml:space="preserve"> </w:t>
      </w:r>
      <w:r>
        <w:rPr>
          <w:color w:val="231F20"/>
          <w:spacing w:val="-2"/>
        </w:rPr>
        <w:t>计，</w:t>
      </w:r>
      <w:r>
        <w:rPr>
          <w:color w:val="231F20"/>
          <w:spacing w:val="-21"/>
        </w:rPr>
        <w:t xml:space="preserve"> </w:t>
      </w:r>
      <w:r>
        <w:rPr>
          <w:rFonts w:ascii="Times New Roman" w:hAnsi="Times New Roman" w:eastAsia="Times New Roman" w:cs="Times New Roman"/>
          <w:color w:val="231F20"/>
          <w:spacing w:val="-2"/>
        </w:rPr>
        <w:t>2012</w:t>
      </w:r>
      <w:r>
        <w:rPr>
          <w:color w:val="231F20"/>
          <w:spacing w:val="-2"/>
        </w:rPr>
        <w:t>—</w:t>
      </w:r>
      <w:r>
        <w:rPr>
          <w:rFonts w:ascii="Times New Roman" w:hAnsi="Times New Roman" w:eastAsia="Times New Roman" w:cs="Times New Roman"/>
          <w:color w:val="231F20"/>
          <w:spacing w:val="-2"/>
        </w:rPr>
        <w:t>2021 </w:t>
      </w:r>
      <w:r>
        <w:rPr>
          <w:color w:val="231F20"/>
          <w:spacing w:val="-2"/>
        </w:rPr>
        <w:t>年，我国数字经济规模从</w:t>
      </w:r>
      <w:r>
        <w:rPr>
          <w:color w:val="231F20"/>
          <w:spacing w:val="-20"/>
        </w:rPr>
        <w:t xml:space="preserve"> </w:t>
      </w:r>
      <w:r>
        <w:rPr>
          <w:rFonts w:ascii="Times New Roman" w:hAnsi="Times New Roman" w:eastAsia="Times New Roman" w:cs="Times New Roman"/>
          <w:color w:val="231F20"/>
          <w:spacing w:val="-2"/>
        </w:rPr>
        <w:t>11.2</w:t>
      </w:r>
      <w:r>
        <w:rPr>
          <w:rFonts w:ascii="Times New Roman" w:hAnsi="Times New Roman" w:eastAsia="Times New Roman" w:cs="Times New Roman"/>
          <w:color w:val="231F20"/>
          <w:spacing w:val="13"/>
        </w:rPr>
        <w:t xml:space="preserve"> </w:t>
      </w:r>
      <w:r>
        <w:rPr>
          <w:color w:val="231F20"/>
          <w:spacing w:val="-2"/>
        </w:rPr>
        <w:t>万亿元增长到</w:t>
      </w:r>
      <w:r>
        <w:rPr>
          <w:color w:val="231F20"/>
          <w:spacing w:val="-50"/>
        </w:rPr>
        <w:t xml:space="preserve"> </w:t>
      </w:r>
      <w:r>
        <w:rPr>
          <w:rFonts w:ascii="Times New Roman" w:hAnsi="Times New Roman" w:eastAsia="Times New Roman" w:cs="Times New Roman"/>
          <w:color w:val="231F20"/>
          <w:spacing w:val="-2"/>
        </w:rPr>
        <w:t>45.5</w:t>
      </w:r>
      <w:r>
        <w:rPr>
          <w:rFonts w:ascii="Times New Roman" w:hAnsi="Times New Roman" w:eastAsia="Times New Roman" w:cs="Times New Roman"/>
          <w:color w:val="231F20"/>
          <w:spacing w:val="14"/>
        </w:rPr>
        <w:t xml:space="preserve"> </w:t>
      </w:r>
      <w:r>
        <w:rPr>
          <w:color w:val="231F20"/>
          <w:spacing w:val="-2"/>
        </w:rPr>
        <w:t>万亿元，总量居世界第 </w:t>
      </w:r>
      <w:r>
        <w:rPr>
          <w:color w:val="231F20"/>
          <w:spacing w:val="-2"/>
        </w:rPr>
        <w:t>二，占</w:t>
      </w:r>
      <w:r>
        <w:rPr>
          <w:color w:val="231F20"/>
          <w:spacing w:val="-44"/>
        </w:rPr>
        <w:t xml:space="preserve"> </w:t>
      </w:r>
      <w:r>
        <w:rPr>
          <w:rFonts w:ascii="Times New Roman" w:hAnsi="Times New Roman" w:eastAsia="Times New Roman" w:cs="Times New Roman"/>
          <w:color w:val="231F20"/>
          <w:spacing w:val="-2"/>
        </w:rPr>
        <w:t>GDP</w:t>
      </w:r>
      <w:r>
        <w:rPr>
          <w:rFonts w:ascii="Times New Roman" w:hAnsi="Times New Roman" w:eastAsia="Times New Roman" w:cs="Times New Roman"/>
          <w:color w:val="231F20"/>
          <w:spacing w:val="26"/>
        </w:rPr>
        <w:t xml:space="preserve"> </w:t>
      </w:r>
      <w:r>
        <w:rPr>
          <w:color w:val="231F20"/>
          <w:spacing w:val="-2"/>
        </w:rPr>
        <w:t>的比重从</w:t>
      </w:r>
      <w:r>
        <w:rPr>
          <w:color w:val="231F20"/>
          <w:spacing w:val="-49"/>
        </w:rPr>
        <w:t xml:space="preserve"> </w:t>
      </w:r>
      <w:r>
        <w:rPr>
          <w:rFonts w:ascii="Times New Roman" w:hAnsi="Times New Roman" w:eastAsia="Times New Roman" w:cs="Times New Roman"/>
          <w:color w:val="231F20"/>
          <w:spacing w:val="-2"/>
        </w:rPr>
        <w:t>20.8% </w:t>
      </w:r>
      <w:r>
        <w:rPr>
          <w:color w:val="231F20"/>
          <w:spacing w:val="-2"/>
        </w:rPr>
        <w:t>增长到</w:t>
      </w:r>
      <w:r>
        <w:rPr>
          <w:color w:val="231F20"/>
          <w:spacing w:val="-43"/>
        </w:rPr>
        <w:t xml:space="preserve"> </w:t>
      </w:r>
      <w:r>
        <w:rPr>
          <w:rFonts w:ascii="Times New Roman" w:hAnsi="Times New Roman" w:eastAsia="Times New Roman" w:cs="Times New Roman"/>
          <w:color w:val="231F20"/>
          <w:spacing w:val="-2"/>
        </w:rPr>
        <w:t>39.8%</w:t>
      </w:r>
      <w:r>
        <w:rPr>
          <w:color w:val="231F20"/>
          <w:spacing w:val="-2"/>
        </w:rPr>
        <w:t>，已经成为经济高质量发展的关键支撑。</w:t>
      </w:r>
    </w:p>
    <w:p>
      <w:pPr>
        <w:pStyle w:val="BodyText"/>
        <w:ind w:left="577" w:right="32" w:firstLine="427"/>
        <w:spacing w:before="73" w:line="272" w:lineRule="auto"/>
        <w:jc w:val="both"/>
        <w:rPr/>
      </w:pPr>
      <w:r>
        <w:rPr>
          <w:color w:val="231F20"/>
        </w:rPr>
        <w:t>数字经济以数据为关键生产要素，数据正成为与物质资产和人</w:t>
      </w:r>
      <w:r>
        <w:rPr>
          <w:color w:val="231F20"/>
          <w:spacing w:val="-1"/>
        </w:rPr>
        <w:t>力资本同样重要的基础 </w:t>
      </w:r>
      <w:r>
        <w:rPr>
          <w:color w:val="231F20"/>
          <w:spacing w:val="2"/>
        </w:rPr>
        <w:t>生产要素。一个国家拥有的数据规模及运用数据资源的能力将成为综合国力的重要体现，</w:t>
      </w:r>
      <w:r>
        <w:rPr>
          <w:color w:val="231F20"/>
          <w:spacing w:val="4"/>
        </w:rPr>
        <w:t xml:space="preserve"> </w:t>
      </w:r>
      <w:r>
        <w:rPr>
          <w:color w:val="231F20"/>
        </w:rPr>
        <w:t>对数据的占有权和控制权将成为陆权、海权、空权之外的国家核心权力。数据作为驱</w:t>
      </w:r>
      <w:r>
        <w:rPr>
          <w:color w:val="231F20"/>
          <w:spacing w:val="-1"/>
        </w:rPr>
        <w:t>动创 </w:t>
      </w:r>
      <w:r>
        <w:rPr>
          <w:color w:val="231F20"/>
        </w:rPr>
        <w:t>新发展的关键生产要素，在全球范围引领社会变革，促进透明政府的发展，形成以人</w:t>
      </w:r>
      <w:r>
        <w:rPr>
          <w:color w:val="231F20"/>
          <w:spacing w:val="-1"/>
        </w:rPr>
        <w:t>为本 </w:t>
      </w:r>
      <w:r>
        <w:rPr>
          <w:color w:val="231F20"/>
          <w:spacing w:val="-6"/>
        </w:rPr>
        <w:t>的数据战略。</w:t>
      </w:r>
    </w:p>
    <w:p>
      <w:pPr>
        <w:pStyle w:val="BodyText"/>
        <w:ind w:left="473" w:right="18" w:firstLine="531"/>
        <w:spacing w:before="79" w:line="281" w:lineRule="auto"/>
        <w:jc w:val="both"/>
        <w:rPr/>
      </w:pPr>
      <w:r>
        <w:rPr>
          <w:color w:val="231F20"/>
          <w:spacing w:val="6"/>
        </w:rPr>
        <w:t>数据在全球经济运转中的价值日益凸显，世界主要经济体围绕数据</w:t>
      </w:r>
      <w:r>
        <w:rPr>
          <w:color w:val="231F20"/>
          <w:spacing w:val="5"/>
        </w:rPr>
        <w:t>资源抢夺数字经 </w:t>
      </w:r>
      <w:r>
        <w:rPr>
          <w:color w:val="231F20"/>
          <w:spacing w:val="3"/>
        </w:rPr>
        <w:t>济制高点的竞争日趋激烈。数据价值持续溢出，不仅代表着数据在社会经济发展</w:t>
      </w:r>
      <w:r>
        <w:rPr>
          <w:color w:val="231F20"/>
          <w:spacing w:val="2"/>
        </w:rPr>
        <w:t>中的地位 </w:t>
      </w:r>
      <w:r>
        <w:rPr>
          <w:color w:val="231F20"/>
          <w:spacing w:val="3"/>
        </w:rPr>
        <w:t>不断提升，也标志着数据的含义在不断演变。当前，世界主要国家和地区都</w:t>
      </w:r>
      <w:r>
        <w:rPr>
          <w:color w:val="231F20"/>
          <w:spacing w:val="2"/>
        </w:rPr>
        <w:t>已认识到数据</w:t>
      </w:r>
      <w:r>
        <w:rPr>
          <w:color w:val="231F20"/>
        </w:rPr>
        <w:t xml:space="preserve">  </w:t>
      </w:r>
      <w:r>
        <w:rPr>
          <w:color w:val="231F20"/>
          <w:spacing w:val="8"/>
        </w:rPr>
        <w:t>对于提升社会经济发展和国家实力的重要意义，通过出台国家数据战略、完善国内数据 </w:t>
      </w:r>
      <w:r>
        <w:rPr>
          <w:color w:val="231F20"/>
          <w:spacing w:val="8"/>
        </w:rPr>
        <w:t>立法、加强国际数据合作等多种方式，促进本国数据资源开放和数据技术开发。对于一 </w:t>
      </w:r>
      <w:r>
        <w:rPr>
          <w:color w:val="231F20"/>
          <w:spacing w:val="8"/>
        </w:rPr>
        <w:t>个国家而言，数据已经逐渐渗透到国家社会经济领域中的每一个角落，关乎国家的发展 </w:t>
      </w:r>
      <w:r>
        <w:rPr>
          <w:color w:val="231F20"/>
          <w:spacing w:val="7"/>
        </w:rPr>
        <w:t>与安全，是重要的国家资产。美国十分重视数</w:t>
      </w:r>
      <w:r>
        <w:rPr>
          <w:color w:val="231F20"/>
          <w:spacing w:val="6"/>
        </w:rPr>
        <w:t>据这一国家资产的建设和保护，</w:t>
      </w:r>
      <w:r>
        <w:rPr>
          <w:rFonts w:ascii="Times New Roman" w:hAnsi="Times New Roman" w:eastAsia="Times New Roman" w:cs="Times New Roman"/>
          <w:color w:val="231F20"/>
          <w:spacing w:val="6"/>
        </w:rPr>
        <w:t>2012 </w:t>
      </w:r>
      <w:r>
        <w:rPr>
          <w:color w:val="231F20"/>
          <w:spacing w:val="6"/>
        </w:rPr>
        <w:t>年奥 </w:t>
      </w:r>
      <w:r>
        <w:rPr>
          <w:color w:val="231F20"/>
          <w:spacing w:val="-1"/>
        </w:rPr>
        <w:t>巴马政府发布了《大数据研究和发展倡议》（</w:t>
      </w:r>
      <w:r>
        <w:rPr>
          <w:rFonts w:ascii="Times New Roman" w:hAnsi="Times New Roman" w:eastAsia="Times New Roman" w:cs="Times New Roman"/>
          <w:color w:val="231F20"/>
          <w:spacing w:val="-1"/>
        </w:rPr>
        <w:t>Big</w:t>
      </w:r>
      <w:r>
        <w:rPr>
          <w:rFonts w:ascii="Times New Roman" w:hAnsi="Times New Roman" w:eastAsia="Times New Roman" w:cs="Times New Roman"/>
          <w:color w:val="231F20"/>
          <w:spacing w:val="27"/>
        </w:rPr>
        <w:t xml:space="preserve"> </w:t>
      </w:r>
      <w:r>
        <w:rPr>
          <w:rFonts w:ascii="Times New Roman" w:hAnsi="Times New Roman" w:eastAsia="Times New Roman" w:cs="Times New Roman"/>
          <w:color w:val="231F20"/>
          <w:spacing w:val="-1"/>
        </w:rPr>
        <w:t>Data</w:t>
      </w:r>
      <w:r>
        <w:rPr>
          <w:rFonts w:ascii="Times New Roman" w:hAnsi="Times New Roman" w:eastAsia="Times New Roman" w:cs="Times New Roman"/>
          <w:color w:val="231F20"/>
          <w:spacing w:val="21"/>
        </w:rPr>
        <w:t xml:space="preserve"> </w:t>
      </w:r>
      <w:r>
        <w:rPr>
          <w:rFonts w:ascii="Times New Roman" w:hAnsi="Times New Roman" w:eastAsia="Times New Roman" w:cs="Times New Roman"/>
          <w:color w:val="231F20"/>
          <w:spacing w:val="-1"/>
        </w:rPr>
        <w:t>Research</w:t>
      </w:r>
      <w:r>
        <w:rPr>
          <w:rFonts w:ascii="Times New Roman" w:hAnsi="Times New Roman" w:eastAsia="Times New Roman" w:cs="Times New Roman"/>
          <w:color w:val="231F20"/>
          <w:spacing w:val="25"/>
        </w:rPr>
        <w:t xml:space="preserve"> </w:t>
      </w:r>
      <w:r>
        <w:rPr>
          <w:rFonts w:ascii="Times New Roman" w:hAnsi="Times New Roman" w:eastAsia="Times New Roman" w:cs="Times New Roman"/>
          <w:color w:val="231F20"/>
          <w:spacing w:val="-1"/>
        </w:rPr>
        <w:t>and</w:t>
      </w:r>
      <w:r>
        <w:rPr>
          <w:rFonts w:ascii="Times New Roman" w:hAnsi="Times New Roman" w:eastAsia="Times New Roman" w:cs="Times New Roman"/>
          <w:color w:val="231F20"/>
          <w:spacing w:val="20"/>
        </w:rPr>
        <w:t xml:space="preserve"> </w:t>
      </w:r>
      <w:r>
        <w:rPr>
          <w:rFonts w:ascii="Times New Roman" w:hAnsi="Times New Roman" w:eastAsia="Times New Roman" w:cs="Times New Roman"/>
          <w:color w:val="231F20"/>
          <w:spacing w:val="-1"/>
        </w:rPr>
        <w:t>Development</w:t>
      </w:r>
      <w:r>
        <w:rPr>
          <w:rFonts w:ascii="Times New Roman" w:hAnsi="Times New Roman" w:eastAsia="Times New Roman" w:cs="Times New Roman"/>
          <w:color w:val="231F20"/>
          <w:spacing w:val="22"/>
          <w:w w:val="101"/>
        </w:rPr>
        <w:t xml:space="preserve"> </w:t>
      </w:r>
      <w:r>
        <w:rPr>
          <w:rFonts w:ascii="Times New Roman" w:hAnsi="Times New Roman" w:eastAsia="Times New Roman" w:cs="Times New Roman"/>
          <w:color w:val="231F20"/>
          <w:spacing w:val="-1"/>
        </w:rPr>
        <w:t>Initiative</w:t>
      </w:r>
      <w:r>
        <w:rPr>
          <w:color w:val="231F20"/>
          <w:spacing w:val="-1"/>
        </w:rPr>
        <w:t>，</w:t>
      </w:r>
      <w:r>
        <w:rPr>
          <w:color w:val="231F20"/>
        </w:rPr>
        <w:t xml:space="preserve"> </w:t>
      </w:r>
      <w:r>
        <w:rPr>
          <w:rFonts w:ascii="Times New Roman" w:hAnsi="Times New Roman" w:eastAsia="Times New Roman" w:cs="Times New Roman"/>
          <w:color w:val="231F20"/>
        </w:rPr>
        <w:t>BDRDI</w:t>
      </w:r>
      <w:r>
        <w:rPr>
          <w:color w:val="231F20"/>
          <w:spacing w:val="-48"/>
        </w:rPr>
        <w:t>），</w:t>
      </w:r>
      <w:r>
        <w:rPr>
          <w:color w:val="231F20"/>
          <w:spacing w:val="11"/>
        </w:rPr>
        <w:t>将数据定义为“未来的新石油”；</w:t>
      </w:r>
      <w:r>
        <w:rPr>
          <w:rFonts w:ascii="Times New Roman" w:hAnsi="Times New Roman" w:eastAsia="Times New Roman" w:cs="Times New Roman"/>
          <w:color w:val="231F20"/>
          <w:spacing w:val="11"/>
        </w:rPr>
        <w:t>2019 </w:t>
      </w:r>
      <w:r>
        <w:rPr>
          <w:color w:val="231F20"/>
          <w:spacing w:val="11"/>
        </w:rPr>
        <w:t>年</w:t>
      </w:r>
      <w:r>
        <w:rPr>
          <w:color w:val="231F20"/>
          <w:spacing w:val="-24"/>
        </w:rPr>
        <w:t xml:space="preserve"> </w:t>
      </w:r>
      <w:r>
        <w:rPr>
          <w:rFonts w:ascii="Times New Roman" w:hAnsi="Times New Roman" w:eastAsia="Times New Roman" w:cs="Times New Roman"/>
          <w:color w:val="231F20"/>
          <w:spacing w:val="11"/>
        </w:rPr>
        <w:t>12</w:t>
      </w:r>
      <w:r>
        <w:rPr>
          <w:rFonts w:ascii="Times New Roman" w:hAnsi="Times New Roman" w:eastAsia="Times New Roman" w:cs="Times New Roman"/>
          <w:color w:val="231F20"/>
          <w:spacing w:val="17"/>
          <w:w w:val="101"/>
        </w:rPr>
        <w:t xml:space="preserve"> </w:t>
      </w:r>
      <w:r>
        <w:rPr>
          <w:color w:val="231F20"/>
          <w:spacing w:val="11"/>
        </w:rPr>
        <w:t>月美国发布《联邦数据战略与</w:t>
      </w:r>
      <w:r>
        <w:rPr>
          <w:color w:val="231F20"/>
        </w:rPr>
        <w:t xml:space="preserve">  </w:t>
      </w:r>
      <w:r>
        <w:rPr>
          <w:rFonts w:ascii="Times New Roman" w:hAnsi="Times New Roman" w:eastAsia="Times New Roman" w:cs="Times New Roman"/>
          <w:color w:val="231F20"/>
          <w:spacing w:val="2"/>
        </w:rPr>
        <w:t>2020 </w:t>
      </w:r>
      <w:r>
        <w:rPr>
          <w:color w:val="231F20"/>
          <w:spacing w:val="2"/>
        </w:rPr>
        <w:t>年行动计划》（</w:t>
      </w:r>
      <w:r>
        <w:rPr>
          <w:rFonts w:ascii="Times New Roman" w:hAnsi="Times New Roman" w:eastAsia="Times New Roman" w:cs="Times New Roman"/>
          <w:color w:val="231F20"/>
        </w:rPr>
        <w:t>Federal</w:t>
      </w:r>
      <w:r>
        <w:rPr>
          <w:rFonts w:ascii="Times New Roman" w:hAnsi="Times New Roman" w:eastAsia="Times New Roman" w:cs="Times New Roman"/>
          <w:color w:val="231F20"/>
          <w:spacing w:val="19"/>
          <w:w w:val="101"/>
        </w:rPr>
        <w:t xml:space="preserve"> </w:t>
      </w:r>
      <w:r>
        <w:rPr>
          <w:rFonts w:ascii="Times New Roman" w:hAnsi="Times New Roman" w:eastAsia="Times New Roman" w:cs="Times New Roman"/>
          <w:color w:val="231F20"/>
        </w:rPr>
        <w:t>Data</w:t>
      </w:r>
      <w:r>
        <w:rPr>
          <w:rFonts w:ascii="Times New Roman" w:hAnsi="Times New Roman" w:eastAsia="Times New Roman" w:cs="Times New Roman"/>
          <w:color w:val="231F20"/>
          <w:spacing w:val="29"/>
          <w:w w:val="101"/>
        </w:rPr>
        <w:t xml:space="preserve"> </w:t>
      </w:r>
      <w:r>
        <w:rPr>
          <w:rFonts w:ascii="Times New Roman" w:hAnsi="Times New Roman" w:eastAsia="Times New Roman" w:cs="Times New Roman"/>
          <w:color w:val="231F20"/>
        </w:rPr>
        <w:t>Strategy</w:t>
      </w:r>
      <w:r>
        <w:rPr>
          <w:rFonts w:ascii="Times New Roman" w:hAnsi="Times New Roman" w:eastAsia="Times New Roman" w:cs="Times New Roman"/>
          <w:color w:val="231F20"/>
          <w:spacing w:val="2"/>
        </w:rPr>
        <w:t>&amp;2020 </w:t>
      </w:r>
      <w:r>
        <w:rPr>
          <w:rFonts w:ascii="Times New Roman" w:hAnsi="Times New Roman" w:eastAsia="Times New Roman" w:cs="Times New Roman"/>
          <w:color w:val="231F20"/>
        </w:rPr>
        <w:t>Action</w:t>
      </w:r>
      <w:r>
        <w:rPr>
          <w:rFonts w:ascii="Times New Roman" w:hAnsi="Times New Roman" w:eastAsia="Times New Roman" w:cs="Times New Roman"/>
          <w:color w:val="231F20"/>
          <w:spacing w:val="19"/>
          <w:w w:val="101"/>
        </w:rPr>
        <w:t xml:space="preserve"> </w:t>
      </w:r>
      <w:r>
        <w:rPr>
          <w:rFonts w:ascii="Times New Roman" w:hAnsi="Times New Roman" w:eastAsia="Times New Roman" w:cs="Times New Roman"/>
          <w:color w:val="231F20"/>
        </w:rPr>
        <w:t>Plan</w:t>
      </w:r>
      <w:r>
        <w:rPr>
          <w:rFonts w:ascii="Times New Roman" w:hAnsi="Times New Roman" w:eastAsia="Times New Roman" w:cs="Times New Roman"/>
          <w:color w:val="231F20"/>
          <w:spacing w:val="-26"/>
        </w:rPr>
        <w:t xml:space="preserve"> </w:t>
      </w:r>
      <w:r>
        <w:rPr>
          <w:color w:val="231F20"/>
          <w:spacing w:val="2"/>
        </w:rPr>
        <w:t>，</w:t>
      </w:r>
      <w:r>
        <w:rPr>
          <w:rFonts w:ascii="Times New Roman" w:hAnsi="Times New Roman" w:eastAsia="Times New Roman" w:cs="Times New Roman"/>
          <w:color w:val="231F20"/>
        </w:rPr>
        <w:t>FDSAP</w:t>
      </w:r>
      <w:r>
        <w:rPr>
          <w:rFonts w:ascii="Times New Roman" w:hAnsi="Times New Roman" w:eastAsia="Times New Roman" w:cs="Times New Roman"/>
          <w:color w:val="231F20"/>
          <w:spacing w:val="2"/>
        </w:rPr>
        <w:t xml:space="preserve"> 2020</w:t>
      </w:r>
      <w:r>
        <w:rPr>
          <w:color w:val="231F20"/>
          <w:spacing w:val="-52"/>
        </w:rPr>
        <w:t>），</w:t>
      </w:r>
      <w:r>
        <w:rPr>
          <w:color w:val="231F20"/>
          <w:spacing w:val="-64"/>
        </w:rPr>
        <w:t xml:space="preserve"> </w:t>
      </w:r>
      <w:r>
        <w:rPr>
          <w:color w:val="231F20"/>
          <w:spacing w:val="2"/>
        </w:rPr>
        <w:t>“将数据作 </w:t>
      </w:r>
      <w:r>
        <w:rPr>
          <w:color w:val="231F20"/>
          <w:spacing w:val="8"/>
        </w:rPr>
        <w:t>为战略资源进行开发”成为美国新的数据战略的核心目标。欧盟针对数据开放、数据流 </w:t>
      </w:r>
      <w:r>
        <w:rPr>
          <w:color w:val="231F20"/>
        </w:rPr>
        <w:t>通、发展数据经济发布了《迈向繁荣的数据驱动型经济》（</w:t>
      </w:r>
      <w:r>
        <w:rPr>
          <w:rFonts w:ascii="Times New Roman" w:hAnsi="Times New Roman" w:eastAsia="Times New Roman" w:cs="Times New Roman"/>
          <w:color w:val="231F20"/>
        </w:rPr>
        <w:t>Towards</w:t>
      </w:r>
      <w:r>
        <w:rPr>
          <w:rFonts w:ascii="Times New Roman" w:hAnsi="Times New Roman" w:eastAsia="Times New Roman" w:cs="Times New Roman"/>
          <w:color w:val="231F20"/>
          <w:spacing w:val="34"/>
          <w:w w:val="101"/>
        </w:rPr>
        <w:t xml:space="preserve"> </w:t>
      </w:r>
      <w:r>
        <w:rPr>
          <w:rFonts w:ascii="Times New Roman" w:hAnsi="Times New Roman" w:eastAsia="Times New Roman" w:cs="Times New Roman"/>
          <w:color w:val="231F20"/>
        </w:rPr>
        <w:t>a</w:t>
      </w:r>
      <w:r>
        <w:rPr>
          <w:rFonts w:ascii="Times New Roman" w:hAnsi="Times New Roman" w:eastAsia="Times New Roman" w:cs="Times New Roman"/>
          <w:color w:val="231F20"/>
          <w:spacing w:val="19"/>
          <w:w w:val="101"/>
        </w:rPr>
        <w:t xml:space="preserve"> </w:t>
      </w:r>
      <w:r>
        <w:rPr>
          <w:rFonts w:ascii="Times New Roman" w:hAnsi="Times New Roman" w:eastAsia="Times New Roman" w:cs="Times New Roman"/>
          <w:color w:val="231F20"/>
        </w:rPr>
        <w:t>Thriving</w:t>
      </w:r>
      <w:r>
        <w:rPr>
          <w:rFonts w:ascii="Times New Roman" w:hAnsi="Times New Roman" w:eastAsia="Times New Roman" w:cs="Times New Roman"/>
          <w:color w:val="231F20"/>
          <w:spacing w:val="21"/>
        </w:rPr>
        <w:t xml:space="preserve"> </w:t>
      </w:r>
      <w:r>
        <w:rPr>
          <w:rFonts w:ascii="Times New Roman" w:hAnsi="Times New Roman" w:eastAsia="Times New Roman" w:cs="Times New Roman"/>
          <w:color w:val="231F20"/>
        </w:rPr>
        <w:t>Data-Driven  </w:t>
      </w:r>
      <w:r>
        <w:rPr>
          <w:rFonts w:ascii="Times New Roman" w:hAnsi="Times New Roman" w:eastAsia="Times New Roman" w:cs="Times New Roman"/>
          <w:color w:val="231F20"/>
          <w:spacing w:val="-4"/>
        </w:rPr>
        <w:t>Economy</w:t>
      </w:r>
      <w:r>
        <w:rPr>
          <w:rFonts w:ascii="Times New Roman" w:hAnsi="Times New Roman" w:eastAsia="Times New Roman" w:cs="Times New Roman"/>
          <w:color w:val="231F20"/>
          <w:spacing w:val="-29"/>
        </w:rPr>
        <w:t xml:space="preserve"> </w:t>
      </w:r>
      <w:r>
        <w:rPr>
          <w:color w:val="231F20"/>
          <w:spacing w:val="-4"/>
        </w:rPr>
        <w:t>，</w:t>
      </w:r>
      <w:r>
        <w:rPr>
          <w:rFonts w:ascii="Times New Roman" w:hAnsi="Times New Roman" w:eastAsia="Times New Roman" w:cs="Times New Roman"/>
          <w:color w:val="231F20"/>
          <w:spacing w:val="-4"/>
        </w:rPr>
        <w:t>TTDE</w:t>
      </w:r>
      <w:r>
        <w:rPr>
          <w:color w:val="231F20"/>
          <w:spacing w:val="-4"/>
        </w:rPr>
        <w:t>）、《建立欧洲数据经济》（</w:t>
      </w:r>
      <w:r>
        <w:rPr>
          <w:rFonts w:ascii="Times New Roman" w:hAnsi="Times New Roman" w:eastAsia="Times New Roman" w:cs="Times New Roman"/>
          <w:color w:val="231F20"/>
          <w:spacing w:val="-4"/>
        </w:rPr>
        <w:t>Building</w:t>
      </w:r>
      <w:r>
        <w:rPr>
          <w:rFonts w:ascii="Times New Roman" w:hAnsi="Times New Roman" w:eastAsia="Times New Roman" w:cs="Times New Roman"/>
          <w:color w:val="231F20"/>
          <w:spacing w:val="24"/>
          <w:w w:val="101"/>
        </w:rPr>
        <w:t xml:space="preserve"> </w:t>
      </w:r>
      <w:r>
        <w:rPr>
          <w:rFonts w:ascii="Times New Roman" w:hAnsi="Times New Roman" w:eastAsia="Times New Roman" w:cs="Times New Roman"/>
          <w:color w:val="231F20"/>
          <w:spacing w:val="-4"/>
        </w:rPr>
        <w:t>a</w:t>
      </w:r>
      <w:r>
        <w:rPr>
          <w:rFonts w:ascii="Times New Roman" w:hAnsi="Times New Roman" w:eastAsia="Times New Roman" w:cs="Times New Roman"/>
          <w:color w:val="231F20"/>
          <w:spacing w:val="22"/>
        </w:rPr>
        <w:t xml:space="preserve"> </w:t>
      </w:r>
      <w:r>
        <w:rPr>
          <w:rFonts w:ascii="Times New Roman" w:hAnsi="Times New Roman" w:eastAsia="Times New Roman" w:cs="Times New Roman"/>
          <w:color w:val="231F20"/>
          <w:spacing w:val="-4"/>
        </w:rPr>
        <w:t>European</w:t>
      </w:r>
      <w:r>
        <w:rPr>
          <w:rFonts w:ascii="Times New Roman" w:hAnsi="Times New Roman" w:eastAsia="Times New Roman" w:cs="Times New Roman"/>
          <w:color w:val="231F20"/>
          <w:spacing w:val="20"/>
          <w:w w:val="101"/>
        </w:rPr>
        <w:t xml:space="preserve"> </w:t>
      </w:r>
      <w:r>
        <w:rPr>
          <w:rFonts w:ascii="Times New Roman" w:hAnsi="Times New Roman" w:eastAsia="Times New Roman" w:cs="Times New Roman"/>
          <w:color w:val="231F20"/>
          <w:spacing w:val="-4"/>
        </w:rPr>
        <w:t>Data</w:t>
      </w:r>
      <w:r>
        <w:rPr>
          <w:rFonts w:ascii="Times New Roman" w:hAnsi="Times New Roman" w:eastAsia="Times New Roman" w:cs="Times New Roman"/>
          <w:color w:val="231F20"/>
          <w:spacing w:val="22"/>
        </w:rPr>
        <w:t xml:space="preserve"> </w:t>
      </w:r>
      <w:r>
        <w:rPr>
          <w:rFonts w:ascii="Times New Roman" w:hAnsi="Times New Roman" w:eastAsia="Times New Roman" w:cs="Times New Roman"/>
          <w:color w:val="231F20"/>
          <w:spacing w:val="-4"/>
        </w:rPr>
        <w:t>Econo</w:t>
      </w:r>
      <w:r>
        <w:rPr>
          <w:rFonts w:ascii="Times New Roman" w:hAnsi="Times New Roman" w:eastAsia="Times New Roman" w:cs="Times New Roman"/>
          <w:color w:val="231F20"/>
          <w:spacing w:val="-5"/>
        </w:rPr>
        <w:t>my</w:t>
      </w:r>
      <w:r>
        <w:rPr>
          <w:rFonts w:ascii="Times New Roman" w:hAnsi="Times New Roman" w:eastAsia="Times New Roman" w:cs="Times New Roman"/>
          <w:color w:val="231F20"/>
          <w:spacing w:val="-30"/>
        </w:rPr>
        <w:t xml:space="preserve"> </w:t>
      </w:r>
      <w:r>
        <w:rPr>
          <w:color w:val="231F20"/>
          <w:spacing w:val="-5"/>
        </w:rPr>
        <w:t>，</w:t>
      </w:r>
      <w:r>
        <w:rPr>
          <w:rFonts w:ascii="Times New Roman" w:hAnsi="Times New Roman" w:eastAsia="Times New Roman" w:cs="Times New Roman"/>
          <w:color w:val="231F20"/>
          <w:spacing w:val="-5"/>
        </w:rPr>
        <w:t>BEDE</w:t>
      </w:r>
      <w:r>
        <w:rPr>
          <w:color w:val="231F20"/>
          <w:spacing w:val="-5"/>
        </w:rPr>
        <w:t>）、</w:t>
      </w:r>
      <w:r>
        <w:rPr>
          <w:color w:val="231F20"/>
        </w:rPr>
        <w:t xml:space="preserve"> </w:t>
      </w:r>
      <w:r>
        <w:rPr>
          <w:color w:val="231F20"/>
          <w:spacing w:val="-3"/>
        </w:rPr>
        <w:t>《迈向共同的欧洲数据空间》（</w:t>
      </w:r>
      <w:r>
        <w:rPr>
          <w:rFonts w:ascii="Times New Roman" w:hAnsi="Times New Roman" w:eastAsia="Times New Roman" w:cs="Times New Roman"/>
          <w:color w:val="231F20"/>
          <w:spacing w:val="-3"/>
        </w:rPr>
        <w:t>Towards a Common European Data</w:t>
      </w:r>
      <w:r>
        <w:rPr>
          <w:rFonts w:ascii="Times New Roman" w:hAnsi="Times New Roman" w:eastAsia="Times New Roman" w:cs="Times New Roman"/>
          <w:color w:val="231F20"/>
          <w:spacing w:val="22"/>
        </w:rPr>
        <w:t xml:space="preserve"> </w:t>
      </w:r>
      <w:r>
        <w:rPr>
          <w:rFonts w:ascii="Times New Roman" w:hAnsi="Times New Roman" w:eastAsia="Times New Roman" w:cs="Times New Roman"/>
          <w:color w:val="231F20"/>
          <w:spacing w:val="-3"/>
        </w:rPr>
        <w:t>Space</w:t>
      </w:r>
      <w:r>
        <w:rPr>
          <w:rFonts w:ascii="Times New Roman" w:hAnsi="Times New Roman" w:eastAsia="Times New Roman" w:cs="Times New Roman"/>
          <w:color w:val="231F20"/>
          <w:spacing w:val="-30"/>
        </w:rPr>
        <w:t xml:space="preserve"> </w:t>
      </w:r>
      <w:r>
        <w:rPr>
          <w:color w:val="231F20"/>
          <w:spacing w:val="-3"/>
        </w:rPr>
        <w:t>，</w:t>
      </w:r>
      <w:r>
        <w:rPr>
          <w:rFonts w:ascii="Times New Roman" w:hAnsi="Times New Roman" w:eastAsia="Times New Roman" w:cs="Times New Roman"/>
          <w:color w:val="231F20"/>
          <w:spacing w:val="-3"/>
        </w:rPr>
        <w:t>TCEDS</w:t>
      </w:r>
      <w:r>
        <w:rPr>
          <w:color w:val="231F20"/>
          <w:spacing w:val="-3"/>
        </w:rPr>
        <w:t>）等多个战</w:t>
      </w:r>
      <w:r>
        <w:rPr>
          <w:color w:val="231F20"/>
        </w:rPr>
        <w:t xml:space="preserve">  </w:t>
      </w:r>
      <w:r>
        <w:rPr>
          <w:color w:val="231F20"/>
          <w:spacing w:val="2"/>
        </w:rPr>
        <w:t>略文件。</w:t>
      </w:r>
      <w:r>
        <w:rPr>
          <w:rFonts w:ascii="Times New Roman" w:hAnsi="Times New Roman" w:eastAsia="Times New Roman" w:cs="Times New Roman"/>
          <w:color w:val="231F20"/>
          <w:spacing w:val="2"/>
        </w:rPr>
        <w:t>2020 </w:t>
      </w:r>
      <w:r>
        <w:rPr>
          <w:color w:val="231F20"/>
          <w:spacing w:val="2"/>
        </w:rPr>
        <w:t>年</w:t>
      </w:r>
      <w:r>
        <w:rPr>
          <w:color w:val="231F20"/>
          <w:spacing w:val="-32"/>
        </w:rPr>
        <w:t xml:space="preserve"> </w:t>
      </w:r>
      <w:r>
        <w:rPr>
          <w:rFonts w:ascii="Times New Roman" w:hAnsi="Times New Roman" w:eastAsia="Times New Roman" w:cs="Times New Roman"/>
          <w:color w:val="231F20"/>
          <w:spacing w:val="2"/>
        </w:rPr>
        <w:t>2 </w:t>
      </w:r>
      <w:r>
        <w:rPr>
          <w:color w:val="231F20"/>
          <w:spacing w:val="2"/>
        </w:rPr>
        <w:t>月，欧盟委员会发布《欧洲数据战略》（</w:t>
      </w:r>
      <w:r>
        <w:rPr>
          <w:rFonts w:ascii="Times New Roman" w:hAnsi="Times New Roman" w:eastAsia="Times New Roman" w:cs="Times New Roman"/>
          <w:color w:val="231F20"/>
        </w:rPr>
        <w:t>A</w:t>
      </w:r>
      <w:r>
        <w:rPr>
          <w:rFonts w:ascii="Times New Roman" w:hAnsi="Times New Roman" w:eastAsia="Times New Roman" w:cs="Times New Roman"/>
          <w:color w:val="231F20"/>
          <w:spacing w:val="2"/>
        </w:rPr>
        <w:t xml:space="preserve"> </w:t>
      </w:r>
      <w:r>
        <w:rPr>
          <w:rFonts w:ascii="Times New Roman" w:hAnsi="Times New Roman" w:eastAsia="Times New Roman" w:cs="Times New Roman"/>
          <w:color w:val="231F20"/>
        </w:rPr>
        <w:t>European</w:t>
      </w:r>
      <w:r>
        <w:rPr>
          <w:rFonts w:ascii="Times New Roman" w:hAnsi="Times New Roman" w:eastAsia="Times New Roman" w:cs="Times New Roman"/>
          <w:color w:val="231F20"/>
          <w:spacing w:val="30"/>
          <w:w w:val="101"/>
        </w:rPr>
        <w:t xml:space="preserve"> </w:t>
      </w:r>
      <w:r>
        <w:rPr>
          <w:rFonts w:ascii="Times New Roman" w:hAnsi="Times New Roman" w:eastAsia="Times New Roman" w:cs="Times New Roman"/>
          <w:color w:val="231F20"/>
        </w:rPr>
        <w:t>Strategy</w:t>
      </w:r>
      <w:r>
        <w:rPr>
          <w:rFonts w:ascii="Times New Roman" w:hAnsi="Times New Roman" w:eastAsia="Times New Roman" w:cs="Times New Roman"/>
          <w:color w:val="231F20"/>
          <w:spacing w:val="25"/>
          <w:w w:val="101"/>
        </w:rPr>
        <w:t xml:space="preserve"> </w:t>
      </w:r>
      <w:r>
        <w:rPr>
          <w:rFonts w:ascii="Times New Roman" w:hAnsi="Times New Roman" w:eastAsia="Times New Roman" w:cs="Times New Roman"/>
          <w:color w:val="231F20"/>
        </w:rPr>
        <w:t>for</w:t>
      </w:r>
      <w:r>
        <w:rPr>
          <w:rFonts w:ascii="Times New Roman" w:hAnsi="Times New Roman" w:eastAsia="Times New Roman" w:cs="Times New Roman"/>
          <w:color w:val="231F20"/>
          <w:spacing w:val="19"/>
          <w:w w:val="101"/>
        </w:rPr>
        <w:t xml:space="preserve"> </w:t>
      </w:r>
      <w:r>
        <w:rPr>
          <w:rFonts w:ascii="Times New Roman" w:hAnsi="Times New Roman" w:eastAsia="Times New Roman" w:cs="Times New Roman"/>
          <w:color w:val="231F20"/>
        </w:rPr>
        <w:t>Data</w:t>
      </w:r>
      <w:r>
        <w:rPr>
          <w:color w:val="231F20"/>
          <w:spacing w:val="2"/>
        </w:rPr>
        <w:t>，</w:t>
      </w:r>
      <w:r>
        <w:rPr>
          <w:color w:val="231F20"/>
        </w:rPr>
        <w:t xml:space="preserve"> </w:t>
      </w:r>
      <w:r>
        <w:rPr>
          <w:rFonts w:ascii="Times New Roman" w:hAnsi="Times New Roman" w:eastAsia="Times New Roman" w:cs="Times New Roman"/>
          <w:color w:val="231F20"/>
        </w:rPr>
        <w:t>ESD</w:t>
      </w:r>
      <w:r>
        <w:rPr>
          <w:color w:val="231F20"/>
          <w:spacing w:val="-52"/>
        </w:rPr>
        <w:t>），</w:t>
      </w:r>
      <w:r>
        <w:rPr>
          <w:color w:val="231F20"/>
          <w:spacing w:val="10"/>
        </w:rPr>
        <w:t>强调提升对非个人数据的分析利用能力。</w:t>
      </w:r>
      <w:r>
        <w:rPr>
          <w:rFonts w:ascii="Times New Roman" w:hAnsi="Times New Roman" w:eastAsia="Times New Roman" w:cs="Times New Roman"/>
          <w:color w:val="231F20"/>
          <w:spacing w:val="10"/>
        </w:rPr>
        <w:t>2020 </w:t>
      </w:r>
      <w:r>
        <w:rPr>
          <w:color w:val="231F20"/>
          <w:spacing w:val="10"/>
        </w:rPr>
        <w:t>年</w:t>
      </w:r>
      <w:r>
        <w:rPr>
          <w:color w:val="231F20"/>
          <w:spacing w:val="-43"/>
        </w:rPr>
        <w:t xml:space="preserve"> </w:t>
      </w:r>
      <w:r>
        <w:rPr>
          <w:rFonts w:ascii="Times New Roman" w:hAnsi="Times New Roman" w:eastAsia="Times New Roman" w:cs="Times New Roman"/>
          <w:color w:val="231F20"/>
          <w:spacing w:val="10"/>
        </w:rPr>
        <w:t>9 </w:t>
      </w:r>
      <w:r>
        <w:rPr>
          <w:color w:val="231F20"/>
          <w:spacing w:val="10"/>
        </w:rPr>
        <w:t>月，英国发布《国家数据战 </w:t>
      </w:r>
      <w:r>
        <w:rPr>
          <w:color w:val="231F20"/>
          <w:spacing w:val="4"/>
        </w:rPr>
        <w:t>略》（</w:t>
      </w:r>
      <w:r>
        <w:rPr>
          <w:rFonts w:ascii="Times New Roman" w:hAnsi="Times New Roman" w:eastAsia="Times New Roman" w:cs="Times New Roman"/>
          <w:color w:val="231F20"/>
        </w:rPr>
        <w:t>National</w:t>
      </w:r>
      <w:r>
        <w:rPr>
          <w:rFonts w:ascii="Times New Roman" w:hAnsi="Times New Roman" w:eastAsia="Times New Roman" w:cs="Times New Roman"/>
          <w:color w:val="231F20"/>
          <w:spacing w:val="21"/>
        </w:rPr>
        <w:t xml:space="preserve"> </w:t>
      </w:r>
      <w:r>
        <w:rPr>
          <w:rFonts w:ascii="Times New Roman" w:hAnsi="Times New Roman" w:eastAsia="Times New Roman" w:cs="Times New Roman"/>
          <w:color w:val="231F20"/>
        </w:rPr>
        <w:t>Data</w:t>
      </w:r>
      <w:r>
        <w:rPr>
          <w:rFonts w:ascii="Times New Roman" w:hAnsi="Times New Roman" w:eastAsia="Times New Roman" w:cs="Times New Roman"/>
          <w:color w:val="231F20"/>
          <w:spacing w:val="30"/>
          <w:w w:val="101"/>
        </w:rPr>
        <w:t xml:space="preserve"> </w:t>
      </w:r>
      <w:r>
        <w:rPr>
          <w:rFonts w:ascii="Times New Roman" w:hAnsi="Times New Roman" w:eastAsia="Times New Roman" w:cs="Times New Roman"/>
          <w:color w:val="231F20"/>
        </w:rPr>
        <w:t>Strategy</w:t>
      </w:r>
      <w:r>
        <w:rPr>
          <w:rFonts w:ascii="Times New Roman" w:hAnsi="Times New Roman" w:eastAsia="Times New Roman" w:cs="Times New Roman"/>
          <w:color w:val="231F20"/>
          <w:spacing w:val="-30"/>
        </w:rPr>
        <w:t xml:space="preserve"> </w:t>
      </w:r>
      <w:r>
        <w:rPr>
          <w:color w:val="231F20"/>
          <w:spacing w:val="4"/>
        </w:rPr>
        <w:t>，</w:t>
      </w:r>
      <w:r>
        <w:rPr>
          <w:rFonts w:ascii="Times New Roman" w:hAnsi="Times New Roman" w:eastAsia="Times New Roman" w:cs="Times New Roman"/>
          <w:color w:val="231F20"/>
        </w:rPr>
        <w:t>NDS</w:t>
      </w:r>
      <w:r>
        <w:rPr>
          <w:color w:val="231F20"/>
          <w:spacing w:val="-51"/>
        </w:rPr>
        <w:t>），</w:t>
      </w:r>
      <w:r>
        <w:rPr>
          <w:color w:val="231F20"/>
          <w:spacing w:val="4"/>
        </w:rPr>
        <w:t>提出释放数据价值是推动数字部门和国家经济增长 </w:t>
      </w:r>
      <w:r>
        <w:rPr>
          <w:color w:val="231F20"/>
          <w:spacing w:val="16"/>
        </w:rPr>
        <w:t>的关键。</w:t>
      </w:r>
    </w:p>
    <w:p>
      <w:pPr>
        <w:pStyle w:val="BodyText"/>
        <w:ind w:left="473" w:firstLine="533"/>
        <w:spacing w:before="75" w:line="275" w:lineRule="auto"/>
        <w:jc w:val="both"/>
        <w:rPr/>
      </w:pPr>
      <w:r>
        <w:rPr>
          <w:color w:val="231F20"/>
          <w:spacing w:val="8"/>
        </w:rPr>
        <w:t>继我国在</w:t>
      </w:r>
      <w:r>
        <w:rPr>
          <w:color w:val="231F20"/>
          <w:spacing w:val="-43"/>
        </w:rPr>
        <w:t xml:space="preserve"> </w:t>
      </w:r>
      <w:r>
        <w:rPr>
          <w:rFonts w:ascii="Times New Roman" w:hAnsi="Times New Roman" w:eastAsia="Times New Roman" w:cs="Times New Roman"/>
          <w:color w:val="231F20"/>
          <w:spacing w:val="8"/>
        </w:rPr>
        <w:t>2019 </w:t>
      </w:r>
      <w:r>
        <w:rPr>
          <w:color w:val="231F20"/>
          <w:spacing w:val="8"/>
        </w:rPr>
        <w:t>年通过的《决定》中首次提出将“数据”作为生产要素后，中央第</w:t>
      </w:r>
      <w:r>
        <w:rPr>
          <w:color w:val="231F20"/>
        </w:rPr>
        <w:t xml:space="preserve">  </w:t>
      </w:r>
      <w:r>
        <w:rPr>
          <w:color w:val="231F20"/>
          <w:spacing w:val="6"/>
        </w:rPr>
        <w:t>一份关于要素市场化配置的文件《关于构建更加完善</w:t>
      </w:r>
      <w:r>
        <w:rPr>
          <w:color w:val="231F20"/>
          <w:spacing w:val="5"/>
        </w:rPr>
        <w:t>的要素市场化配置体制机制的意见》</w:t>
      </w:r>
      <w:r>
        <w:rPr>
          <w:color w:val="231F20"/>
        </w:rPr>
        <w:t xml:space="preserve"> </w:t>
      </w:r>
      <w:r>
        <w:rPr>
          <w:color w:val="231F20"/>
          <w:spacing w:val="-6"/>
        </w:rPr>
        <w:t>（以下简称《意见》）于</w:t>
      </w:r>
      <w:r>
        <w:rPr>
          <w:color w:val="231F20"/>
          <w:spacing w:val="-36"/>
        </w:rPr>
        <w:t xml:space="preserve"> </w:t>
      </w:r>
      <w:r>
        <w:rPr>
          <w:rFonts w:ascii="Times New Roman" w:hAnsi="Times New Roman" w:eastAsia="Times New Roman" w:cs="Times New Roman"/>
          <w:color w:val="231F20"/>
          <w:spacing w:val="-6"/>
        </w:rPr>
        <w:t>2020 </w:t>
      </w:r>
      <w:r>
        <w:rPr>
          <w:color w:val="231F20"/>
          <w:spacing w:val="-6"/>
        </w:rPr>
        <w:t>年</w:t>
      </w:r>
      <w:r>
        <w:rPr>
          <w:color w:val="231F20"/>
          <w:spacing w:val="-50"/>
        </w:rPr>
        <w:t xml:space="preserve"> </w:t>
      </w:r>
      <w:r>
        <w:rPr>
          <w:rFonts w:ascii="Times New Roman" w:hAnsi="Times New Roman" w:eastAsia="Times New Roman" w:cs="Times New Roman"/>
          <w:color w:val="231F20"/>
          <w:spacing w:val="-6"/>
        </w:rPr>
        <w:t>4</w:t>
      </w:r>
      <w:r>
        <w:rPr>
          <w:rFonts w:ascii="Times New Roman" w:hAnsi="Times New Roman" w:eastAsia="Times New Roman" w:cs="Times New Roman"/>
          <w:color w:val="231F20"/>
          <w:spacing w:val="14"/>
        </w:rPr>
        <w:t xml:space="preserve"> </w:t>
      </w:r>
      <w:r>
        <w:rPr>
          <w:color w:val="231F20"/>
          <w:spacing w:val="-6"/>
        </w:rPr>
        <w:t>月</w:t>
      </w:r>
      <w:r>
        <w:rPr>
          <w:color w:val="231F20"/>
          <w:spacing w:val="-44"/>
        </w:rPr>
        <w:t xml:space="preserve"> </w:t>
      </w:r>
      <w:r>
        <w:rPr>
          <w:rFonts w:ascii="Times New Roman" w:hAnsi="Times New Roman" w:eastAsia="Times New Roman" w:cs="Times New Roman"/>
          <w:color w:val="231F20"/>
          <w:spacing w:val="-6"/>
        </w:rPr>
        <w:t>9  </w:t>
      </w:r>
      <w:r>
        <w:rPr>
          <w:color w:val="231F20"/>
          <w:spacing w:val="-6"/>
        </w:rPr>
        <w:t>日</w:t>
      </w:r>
      <w:r>
        <w:rPr>
          <w:color w:val="231F20"/>
          <w:spacing w:val="-7"/>
        </w:rPr>
        <w:t>发布。《意见》提出了在土地、劳动力、资本、技</w:t>
      </w:r>
      <w:r>
        <w:rPr>
          <w:color w:val="231F20"/>
        </w:rPr>
        <w:t xml:space="preserve">  </w:t>
      </w:r>
      <w:r>
        <w:rPr>
          <w:color w:val="231F20"/>
          <w:spacing w:val="2"/>
        </w:rPr>
        <w:t>术、数据</w:t>
      </w:r>
      <w:r>
        <w:rPr>
          <w:color w:val="231F20"/>
          <w:spacing w:val="-19"/>
        </w:rPr>
        <w:t xml:space="preserve"> </w:t>
      </w:r>
      <w:r>
        <w:rPr>
          <w:rFonts w:ascii="Times New Roman" w:hAnsi="Times New Roman" w:eastAsia="Times New Roman" w:cs="Times New Roman"/>
          <w:color w:val="231F20"/>
          <w:spacing w:val="2"/>
        </w:rPr>
        <w:t>5 </w:t>
      </w:r>
      <w:r>
        <w:rPr>
          <w:color w:val="231F20"/>
          <w:spacing w:val="2"/>
        </w:rPr>
        <w:t>个要素领域改革的方向，明确了完善要素市场化配置的具体举措。数据作为新</w:t>
      </w:r>
      <w:r>
        <w:rPr>
          <w:color w:val="231F20"/>
        </w:rPr>
        <w:t xml:space="preserve">  </w:t>
      </w:r>
      <w:r>
        <w:rPr>
          <w:color w:val="231F20"/>
          <w:spacing w:val="5"/>
        </w:rPr>
        <w:t>型生产要素，《意见》为其参与收益分配解除了制度障碍，成为全社会备受关注的焦点。</w:t>
      </w:r>
      <w:r>
        <w:rPr>
          <w:color w:val="231F20"/>
          <w:spacing w:val="8"/>
        </w:rPr>
        <w:t xml:space="preserve"> </w:t>
      </w:r>
      <w:r>
        <w:rPr>
          <w:color w:val="231F20"/>
          <w:spacing w:val="3"/>
        </w:rPr>
        <w:t>《意见》再一次将数据与传统生产要素相提并论意味着数据要素对于国家的重要程度显著</w:t>
      </w:r>
      <w:r>
        <w:rPr>
          <w:color w:val="231F20"/>
          <w:spacing w:val="4"/>
        </w:rPr>
        <w:t xml:space="preserve">  </w:t>
      </w:r>
      <w:r>
        <w:rPr>
          <w:color w:val="231F20"/>
          <w:spacing w:val="5"/>
        </w:rPr>
        <w:t>提升。</w:t>
      </w:r>
      <w:r>
        <w:rPr>
          <w:color w:val="231F20"/>
          <w:spacing w:val="-30"/>
        </w:rPr>
        <w:t xml:space="preserve"> </w:t>
      </w:r>
      <w:r>
        <w:rPr>
          <w:rFonts w:ascii="Times New Roman" w:hAnsi="Times New Roman" w:eastAsia="Times New Roman" w:cs="Times New Roman"/>
          <w:color w:val="231F20"/>
          <w:spacing w:val="5"/>
        </w:rPr>
        <w:t>2020 </w:t>
      </w:r>
      <w:r>
        <w:rPr>
          <w:color w:val="231F20"/>
          <w:spacing w:val="5"/>
        </w:rPr>
        <w:t>年的政府工作报告中强调，要推进要素市场化配置改革</w:t>
      </w:r>
      <w:r>
        <w:rPr>
          <w:color w:val="231F20"/>
          <w:spacing w:val="4"/>
        </w:rPr>
        <w:t>，培育技术和数据市</w:t>
      </w:r>
    </w:p>
    <w:p>
      <w:pPr>
        <w:spacing w:line="275" w:lineRule="auto"/>
        <w:sectPr>
          <w:footerReference w:type="default" r:id="rId37"/>
          <w:pgSz w:w="10489" w:h="14741"/>
          <w:pgMar w:top="482" w:right="1040" w:bottom="734" w:left="564" w:header="0" w:footer="552" w:gutter="0"/>
        </w:sectPr>
        <w:rPr/>
      </w:pPr>
    </w:p>
    <w:p>
      <w:pPr>
        <w:ind w:left="6233"/>
        <w:spacing w:before="41" w:line="204" w:lineRule="auto"/>
        <w:rPr>
          <w:sz w:val="18"/>
          <w:szCs w:val="18"/>
        </w:rPr>
      </w:pPr>
      <w:r>
        <w:drawing>
          <wp:anchor distT="0" distB="0" distL="0" distR="0" simplePos="0" relativeHeight="251718656" behindDoc="0" locked="0" layoutInCell="0" allowOverlap="1">
            <wp:simplePos x="0" y="0"/>
            <wp:positionH relativeFrom="page">
              <wp:posOffset>6019197</wp:posOffset>
            </wp:positionH>
            <wp:positionV relativeFrom="page">
              <wp:posOffset>1706402</wp:posOffset>
            </wp:positionV>
            <wp:extent cx="431990" cy="433394"/>
            <wp:effectExtent l="0" t="0" r="0" b="0"/>
            <wp:wrapNone/>
            <wp:docPr id="64" name="IM 64"/>
            <wp:cNvGraphicFramePr/>
            <a:graphic>
              <a:graphicData uri="http://schemas.openxmlformats.org/drawingml/2006/picture">
                <pic:pic>
                  <pic:nvPicPr>
                    <pic:cNvPr id="64" name="IM 64"/>
                    <pic:cNvPicPr/>
                  </pic:nvPicPr>
                  <pic:blipFill>
                    <a:blip r:embed="rId42"/>
                    <a:stretch>
                      <a:fillRect/>
                    </a:stretch>
                  </pic:blipFill>
                  <pic:spPr>
                    <a:xfrm rot="0">
                      <a:off x="0" y="0"/>
                      <a:ext cx="431990" cy="433394"/>
                    </a:xfrm>
                    <a:prstGeom prst="rect">
                      <a:avLst/>
                    </a:prstGeom>
                  </pic:spPr>
                </pic:pic>
              </a:graphicData>
            </a:graphic>
          </wp:anchor>
        </w:drawing>
      </w:r>
      <w:r>
        <w:rPr>
          <w:rFonts w:ascii="Microsoft YaHei" w:hAnsi="Microsoft YaHei" w:eastAsia="Microsoft YaHei" w:cs="Microsoft YaHei"/>
          <w:sz w:val="18"/>
          <w:szCs w:val="18"/>
          <w:color w:val="4B4C4D"/>
          <w:spacing w:val="-2"/>
        </w:rPr>
        <w:t>第 </w:t>
      </w:r>
      <w:r>
        <w:rPr>
          <w:rFonts w:ascii="Arial" w:hAnsi="Arial" w:eastAsia="Arial" w:cs="Arial"/>
          <w:sz w:val="18"/>
          <w:szCs w:val="18"/>
          <w:b/>
          <w:bCs/>
          <w:color w:val="4B4C4D"/>
          <w:spacing w:val="-2"/>
        </w:rPr>
        <w:t>1 </w:t>
      </w:r>
      <w:r>
        <w:rPr>
          <w:rFonts w:ascii="Microsoft YaHei" w:hAnsi="Microsoft YaHei" w:eastAsia="Microsoft YaHei" w:cs="Microsoft YaHei"/>
          <w:sz w:val="18"/>
          <w:szCs w:val="18"/>
          <w:color w:val="4B4C4D"/>
          <w:spacing w:val="-2"/>
        </w:rPr>
        <w:t>章</w:t>
      </w:r>
      <w:r>
        <w:rPr>
          <w:rFonts w:ascii="Microsoft YaHei" w:hAnsi="Microsoft YaHei" w:eastAsia="Microsoft YaHei" w:cs="Microsoft YaHei"/>
          <w:sz w:val="18"/>
          <w:szCs w:val="18"/>
          <w:color w:val="4B4C4D"/>
          <w:spacing w:val="9"/>
        </w:rPr>
        <w:t xml:space="preserve">   </w:t>
      </w:r>
      <w:r>
        <w:rPr>
          <w:rFonts w:ascii="Microsoft YaHei" w:hAnsi="Microsoft YaHei" w:eastAsia="Microsoft YaHei" w:cs="Microsoft YaHei"/>
          <w:sz w:val="18"/>
          <w:szCs w:val="18"/>
          <w:color w:val="4B4C4D"/>
          <w:spacing w:val="-2"/>
        </w:rPr>
        <w:t>数据与数据治理  </w:t>
      </w:r>
      <w:r>
        <w:rPr>
          <w:sz w:val="18"/>
          <w:szCs w:val="18"/>
          <w:position w:val="-2"/>
        </w:rPr>
        <w:drawing>
          <wp:inline distT="0" distB="0" distL="0" distR="0">
            <wp:extent cx="339153" cy="105117"/>
            <wp:effectExtent l="0" t="0" r="0" b="0"/>
            <wp:docPr id="66" name="IM 66"/>
            <wp:cNvGraphicFramePr/>
            <a:graphic>
              <a:graphicData uri="http://schemas.openxmlformats.org/drawingml/2006/picture">
                <pic:pic>
                  <pic:nvPicPr>
                    <pic:cNvPr id="66" name="IM 66"/>
                    <pic:cNvPicPr/>
                  </pic:nvPicPr>
                  <pic:blipFill>
                    <a:blip r:embed="rId43"/>
                    <a:stretch>
                      <a:fillRect/>
                    </a:stretch>
                  </pic:blipFill>
                  <pic:spPr>
                    <a:xfrm rot="0">
                      <a:off x="0" y="0"/>
                      <a:ext cx="339153" cy="105117"/>
                    </a:xfrm>
                    <a:prstGeom prst="rect">
                      <a:avLst/>
                    </a:prstGeom>
                  </pic:spPr>
                </pic:pic>
              </a:graphicData>
            </a:graphic>
          </wp:inline>
        </w:drawing>
      </w:r>
    </w:p>
    <w:p>
      <w:pPr>
        <w:spacing w:line="308" w:lineRule="auto"/>
        <w:rPr>
          <w:rFonts w:ascii="Arial"/>
          <w:sz w:val="21"/>
        </w:rPr>
      </w:pPr>
      <w:r/>
    </w:p>
    <w:p>
      <w:pPr>
        <w:pStyle w:val="BodyText"/>
        <w:ind w:right="733"/>
        <w:spacing w:before="68" w:line="263" w:lineRule="auto"/>
        <w:jc w:val="both"/>
        <w:rPr/>
      </w:pPr>
      <w:r>
        <w:rPr>
          <w:color w:val="231F20"/>
          <w:spacing w:val="-3"/>
        </w:rPr>
        <w:t>场，激活各类要素潜能。</w:t>
      </w:r>
      <w:r>
        <w:rPr>
          <w:rFonts w:ascii="Times New Roman" w:hAnsi="Times New Roman" w:eastAsia="Times New Roman" w:cs="Times New Roman"/>
          <w:color w:val="231F20"/>
          <w:spacing w:val="-3"/>
        </w:rPr>
        <w:t>2021 </w:t>
      </w:r>
      <w:r>
        <w:rPr>
          <w:color w:val="231F20"/>
          <w:spacing w:val="-3"/>
        </w:rPr>
        <w:t>年</w:t>
      </w:r>
      <w:r>
        <w:rPr>
          <w:color w:val="231F20"/>
          <w:spacing w:val="-28"/>
        </w:rPr>
        <w:t xml:space="preserve"> </w:t>
      </w:r>
      <w:r>
        <w:rPr>
          <w:rFonts w:ascii="Times New Roman" w:hAnsi="Times New Roman" w:eastAsia="Times New Roman" w:cs="Times New Roman"/>
          <w:color w:val="231F20"/>
          <w:spacing w:val="-3"/>
        </w:rPr>
        <w:t>11</w:t>
      </w:r>
      <w:r>
        <w:rPr>
          <w:rFonts w:ascii="Times New Roman" w:hAnsi="Times New Roman" w:eastAsia="Times New Roman" w:cs="Times New Roman"/>
          <w:color w:val="231F20"/>
          <w:spacing w:val="14"/>
        </w:rPr>
        <w:t xml:space="preserve"> </w:t>
      </w:r>
      <w:r>
        <w:rPr>
          <w:color w:val="231F20"/>
          <w:spacing w:val="-3"/>
        </w:rPr>
        <w:t>月</w:t>
      </w:r>
      <w:r>
        <w:rPr>
          <w:color w:val="231F20"/>
          <w:spacing w:val="-44"/>
        </w:rPr>
        <w:t xml:space="preserve"> </w:t>
      </w:r>
      <w:r>
        <w:rPr>
          <w:rFonts w:ascii="Times New Roman" w:hAnsi="Times New Roman" w:eastAsia="Times New Roman" w:cs="Times New Roman"/>
          <w:color w:val="231F20"/>
          <w:spacing w:val="-3"/>
        </w:rPr>
        <w:t>30  </w:t>
      </w:r>
      <w:r>
        <w:rPr>
          <w:color w:val="231F20"/>
          <w:spacing w:val="-3"/>
        </w:rPr>
        <w:t>日，工业和信息化部发布《“十四五</w:t>
      </w:r>
      <w:r>
        <w:rPr>
          <w:color w:val="231F20"/>
          <w:spacing w:val="-4"/>
        </w:rPr>
        <w:t>”大数据产 </w:t>
      </w:r>
      <w:r>
        <w:rPr>
          <w:color w:val="231F20"/>
          <w:spacing w:val="-10"/>
        </w:rPr>
        <w:t>业发展规划》（以下简称《规划》）。《规划》指出，“数据是新</w:t>
      </w:r>
      <w:r>
        <w:rPr>
          <w:color w:val="231F20"/>
          <w:spacing w:val="-11"/>
        </w:rPr>
        <w:t>时代重要的生产要素，是国</w:t>
      </w:r>
      <w:r>
        <w:rPr>
          <w:color w:val="231F20"/>
        </w:rPr>
        <w:t xml:space="preserve">  </w:t>
      </w:r>
      <w:r>
        <w:rPr>
          <w:color w:val="231F20"/>
          <w:spacing w:val="-3"/>
        </w:rPr>
        <w:t>家基础性战略资源”。由此可见，数据作为国民经济基础性战略资源的重要地位日益凸显。</w:t>
      </w:r>
    </w:p>
    <w:p>
      <w:pPr>
        <w:spacing w:line="274" w:lineRule="auto"/>
        <w:rPr>
          <w:rFonts w:ascii="Arial"/>
          <w:sz w:val="21"/>
        </w:rPr>
      </w:pPr>
      <w:r/>
    </w:p>
    <w:p>
      <w:pPr>
        <w:ind w:left="13"/>
        <w:spacing w:before="111" w:line="204" w:lineRule="auto"/>
        <w:rPr>
          <w:rFonts w:ascii="Microsoft YaHei" w:hAnsi="Microsoft YaHei" w:eastAsia="Microsoft YaHei" w:cs="Microsoft YaHei"/>
          <w:sz w:val="26"/>
          <w:szCs w:val="26"/>
        </w:rPr>
      </w:pPr>
      <w:r>
        <w:rPr>
          <w:rFonts w:ascii="Arial" w:hAnsi="Arial" w:eastAsia="Arial" w:cs="Arial"/>
          <w:sz w:val="26"/>
          <w:szCs w:val="26"/>
          <w:b/>
          <w:bCs/>
          <w:color w:val="231F20"/>
          <w:spacing w:val="-3"/>
        </w:rPr>
        <w:t>1.2</w:t>
      </w:r>
      <w:r>
        <w:rPr>
          <w:rFonts w:ascii="Arial" w:hAnsi="Arial" w:eastAsia="Arial" w:cs="Arial"/>
          <w:sz w:val="26"/>
          <w:szCs w:val="26"/>
          <w:b/>
          <w:bCs/>
          <w:color w:val="231F20"/>
          <w:spacing w:val="17"/>
        </w:rPr>
        <w:t xml:space="preserve">   </w:t>
      </w:r>
      <w:r>
        <w:rPr>
          <w:rFonts w:ascii="Microsoft YaHei" w:hAnsi="Microsoft YaHei" w:eastAsia="Microsoft YaHei" w:cs="Microsoft YaHei"/>
          <w:sz w:val="26"/>
          <w:szCs w:val="26"/>
          <w:color w:val="231F20"/>
          <w:spacing w:val="-3"/>
        </w:rPr>
        <w:t>数据治理的内涵</w:t>
      </w:r>
    </w:p>
    <w:p>
      <w:pPr>
        <w:pStyle w:val="BodyText"/>
        <w:ind w:right="803" w:firstLine="426"/>
        <w:spacing w:before="273" w:line="277" w:lineRule="auto"/>
        <w:jc w:val="both"/>
        <w:rPr/>
      </w:pPr>
      <w:r>
        <w:pict>
          <v:shape id="_x0000_s44" style="position:absolute;margin-left:418.155pt;margin-top:20.5368pt;mso-position-vertical-relative:text;mso-position-horizontal-relative:text;width:31.8pt;height:11.25pt;z-index:251719680;" filled="false" stroked="false" type="#_x0000_t202">
            <v:fill on="false"/>
            <v:stroke on="false"/>
            <v:path/>
            <v:imagedata o:title=""/>
            <o:lock v:ext="edit" aspectratio="false"/>
            <v:textbox inset="0mm,0mm,0mm,0mm">
              <w:txbxContent>
                <w:p>
                  <w:pPr>
                    <w:ind w:left="20"/>
                    <w:spacing w:before="20" w:line="17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31F20"/>
                      <w:spacing w:val="-1"/>
                    </w:rPr>
                    <w:t>视频讲解</w:t>
                  </w:r>
                </w:p>
              </w:txbxContent>
            </v:textbox>
          </v:shape>
        </w:pict>
      </w:r>
      <w:r>
        <w:rPr>
          <w:color w:val="231F20"/>
        </w:rPr>
        <w:t>两个人交换自己手中的物品，每个人还是只能拥有一件物品，但若他们交换的是手中</w:t>
      </w:r>
      <w:r>
        <w:rPr>
          <w:color w:val="231F20"/>
          <w:spacing w:val="16"/>
        </w:rPr>
        <w:t xml:space="preserve"> </w:t>
      </w:r>
      <w:r>
        <w:rPr>
          <w:color w:val="231F20"/>
        </w:rPr>
        <w:t>的信息，那每个人便得到了两条信息。数据价值的实现也是如此，只有数据流通起来，蕴</w:t>
      </w:r>
      <w:r>
        <w:rPr>
          <w:color w:val="231F20"/>
          <w:spacing w:val="12"/>
        </w:rPr>
        <w:t xml:space="preserve"> </w:t>
      </w:r>
      <w:r>
        <w:rPr>
          <w:color w:val="231F20"/>
        </w:rPr>
        <w:t>含其中的价值才能得以发挥。数据治理的本质便是要实现数据的流动，在互联互通中最大</w:t>
      </w:r>
      <w:r>
        <w:rPr>
          <w:color w:val="231F20"/>
          <w:spacing w:val="12"/>
        </w:rPr>
        <w:t xml:space="preserve"> </w:t>
      </w:r>
      <w:r>
        <w:rPr>
          <w:color w:val="231F20"/>
        </w:rPr>
        <w:t>限度地挖掘和释放数据的价值，避免数据成为一潭“死水”、一个个“孤岛”。本节主要</w:t>
      </w:r>
      <w:r>
        <w:rPr>
          <w:color w:val="231F20"/>
          <w:spacing w:val="10"/>
        </w:rPr>
        <w:t xml:space="preserve"> </w:t>
      </w:r>
      <w:r>
        <w:rPr>
          <w:color w:val="231F20"/>
        </w:rPr>
        <w:t>介绍数据治理的内涵，包括数据治理的概念、数据治理的要素与特点、数据治理的类型与</w:t>
      </w:r>
      <w:r>
        <w:rPr>
          <w:color w:val="231F20"/>
          <w:spacing w:val="3"/>
        </w:rPr>
        <w:t xml:space="preserve"> </w:t>
      </w:r>
      <w:r>
        <w:rPr>
          <w:color w:val="231F20"/>
        </w:rPr>
        <w:t>领域、数据治理的内容与范围、数据治理的相关道德准则以及数据治理的目标与意义。数</w:t>
      </w:r>
      <w:r>
        <w:rPr>
          <w:color w:val="231F20"/>
          <w:spacing w:val="12"/>
        </w:rPr>
        <w:t xml:space="preserve"> </w:t>
      </w:r>
      <w:r>
        <w:rPr>
          <w:color w:val="231F20"/>
        </w:rPr>
        <w:t>据治理的内涵是数据治理的基础，把握其相关内容有助于理解数据治理的发展，同时能够</w:t>
      </w:r>
      <w:r>
        <w:rPr>
          <w:color w:val="231F20"/>
          <w:spacing w:val="10"/>
        </w:rPr>
        <w:t xml:space="preserve"> </w:t>
      </w:r>
      <w:r>
        <w:rPr>
          <w:color w:val="231F20"/>
          <w:spacing w:val="-4"/>
        </w:rPr>
        <w:t>更好地认识数据的价值。</w:t>
      </w:r>
    </w:p>
    <w:p>
      <w:pPr>
        <w:ind w:left="17"/>
        <w:spacing w:before="211" w:line="201" w:lineRule="auto"/>
        <w:rPr>
          <w:sz w:val="23"/>
          <w:szCs w:val="23"/>
        </w:rPr>
      </w:pPr>
      <w:r>
        <w:rPr>
          <w:rFonts w:ascii="Arial" w:hAnsi="Arial" w:eastAsia="Arial" w:cs="Arial"/>
          <w:sz w:val="23"/>
          <w:szCs w:val="23"/>
          <w:u w:val="single" w:color="76787B"/>
          <w:color w:val="231F20"/>
          <w:spacing w:val="-2"/>
        </w:rPr>
        <w:t>1.2.1</w:t>
      </w:r>
      <w:r>
        <w:rPr>
          <w:rFonts w:ascii="Arial" w:hAnsi="Arial" w:eastAsia="Arial" w:cs="Arial"/>
          <w:sz w:val="23"/>
          <w:szCs w:val="23"/>
          <w:u w:val="single" w:color="76787B"/>
          <w:color w:val="231F20"/>
          <w:spacing w:val="16"/>
        </w:rPr>
        <w:t xml:space="preserve">   </w:t>
      </w:r>
      <w:r>
        <w:rPr>
          <w:rFonts w:ascii="Microsoft YaHei" w:hAnsi="Microsoft YaHei" w:eastAsia="Microsoft YaHei" w:cs="Microsoft YaHei"/>
          <w:sz w:val="23"/>
          <w:szCs w:val="23"/>
          <w:u w:val="single" w:color="76787B"/>
          <w:color w:val="231F20"/>
          <w:spacing w:val="-2"/>
        </w:rPr>
        <w:t>宏观层面数据治理的基本概念</w:t>
      </w:r>
      <w:r>
        <w:rPr>
          <w:rFonts w:ascii="Microsoft YaHei" w:hAnsi="Microsoft YaHei" w:eastAsia="Microsoft YaHei" w:cs="Microsoft YaHei"/>
          <w:sz w:val="23"/>
          <w:szCs w:val="23"/>
          <w:u w:val="single" w:color="76787B"/>
          <w:color w:val="231F20"/>
          <w:spacing w:val="-49"/>
        </w:rPr>
        <w:t xml:space="preserve"> </w:t>
      </w:r>
      <w:r>
        <w:rPr>
          <w:sz w:val="23"/>
          <w:szCs w:val="23"/>
          <w:position w:val="-7"/>
        </w:rPr>
        <w:drawing>
          <wp:inline distT="0" distB="0" distL="0" distR="0">
            <wp:extent cx="70195" cy="187197"/>
            <wp:effectExtent l="0" t="0" r="0" b="0"/>
            <wp:docPr id="68" name="IM 68"/>
            <wp:cNvGraphicFramePr/>
            <a:graphic>
              <a:graphicData uri="http://schemas.openxmlformats.org/drawingml/2006/picture">
                <pic:pic>
                  <pic:nvPicPr>
                    <pic:cNvPr id="68" name="IM 68"/>
                    <pic:cNvPicPr/>
                  </pic:nvPicPr>
                  <pic:blipFill>
                    <a:blip r:embed="rId44"/>
                    <a:stretch>
                      <a:fillRect/>
                    </a:stretch>
                  </pic:blipFill>
                  <pic:spPr>
                    <a:xfrm rot="0">
                      <a:off x="0" y="0"/>
                      <a:ext cx="70195" cy="187197"/>
                    </a:xfrm>
                    <a:prstGeom prst="rect">
                      <a:avLst/>
                    </a:prstGeom>
                  </pic:spPr>
                </pic:pic>
              </a:graphicData>
            </a:graphic>
          </wp:inline>
        </w:drawing>
      </w:r>
    </w:p>
    <w:p>
      <w:pPr>
        <w:pStyle w:val="BodyText"/>
        <w:ind w:left="442"/>
        <w:spacing w:before="180" w:line="220" w:lineRule="auto"/>
        <w:rPr/>
      </w:pPr>
      <w:r>
        <w:pict>
          <v:shape id="_x0000_s46" style="position:absolute;margin-left:42.1765pt;margin-top:9.49017pt;mso-position-vertical-relative:text;mso-position-horizontal-relative:text;width:62.15pt;height:9.75pt;z-index:-251599872;" filled="false" strokecolor="#231F20" strokeweight="0.17pt" coordsize="1243,195" coordorigin="0,0" path="m108,187l108,173l164,173l164,191l175,184c175,172,174,155,174,133l181,128l169,118l163,125l141,125l141,92l192,92l178,78l169,87l141,87l141,70l148,65l130,57c131,67,131,77,131,87l93,87c94,74,95,62,95,52l164,52l164,62l175,57c175,49,174,37,174,21l181,17l169,6l163,13l96,13l83,5c84,17,84,36,84,62c83,89,80,112,74,132c68,152,58,170,46,186l49,188c74,163,88,131,92,92l131,92l131,125l108,125l96,119c97,129,97,141,97,154c97,168,97,180,96,192l108,187xm164,47l95,47l95,18l164,18l164,47xm164,169l108,169l108,130l164,130l164,169xm49,54l81,54l68,40l58,49l49,49l49,17l55,11l36,1c37,11,37,26,37,49l2,49l9,55l18,54l37,54l37,96c16,106,4,111,1,112l13,127c14,123,22,116,37,105l37,164c37,167,36,170,33,170c30,170,22,169,10,167l10,170c25,176,32,182,31,187c42,183,48,176,49,166l49,100l77,78l76,75l49,91l49,54xm1167,145c1167,148,1165,149,1162,149c1159,149,1151,148,1137,146l1137,150c1150,154,1158,160,1159,167c1167,164,1172,161,1174,159c1176,156,1178,151,1178,145l1178,99c1189,109,1197,118,1202,128c1207,137,1211,138,1214,132c1217,126,1215,120,1209,114c1202,108,1192,102,1178,95l1178,55l1185,50l1179,47c1193,37,1203,30,1209,27c1215,25,1220,23,1225,23l1210,7l1202,16l1118,16l1126,23c1132,22,1138,21,1146,21l1201,21l1176,46l1166,41c1167,50,1167,68,1167,95c1146,107,1132,115,1125,117l1137,128c1138,125,1148,115,1167,100l1167,145xm1132,55c1140,63,1145,71,1148,79c1151,87,1154,88,1157,83c1160,78,1160,73,1157,68c1154,64,1146,59,1133,52l1132,55xm1123,171l1123,74l1129,68l1112,59c1112,68,1113,76,1113,85l1113,167l1105,173l1116,183l1123,176l1223,176l1223,187l1235,182c1234,175,1234,167,1234,160l1234,73l1240,68l1223,59c1223,67,1223,76,1223,87l1223,171l1123,171xm1211,60l1219,59l1205,46c1197,59,1189,72,1179,84l1181,87c1189,80,1199,71,1211,60m1108,43c1092,91,1083,117,1080,121c1076,126,1074,129,1071,129c1069,129,1063,129,1053,128l1053,131c1061,133,1067,136,1070,139c1073,142,1073,149,1070,160c1067,171,1068,178,1075,180c1082,182,1085,181,1084,178c1084,174,1084,167,1084,157c1083,147,1084,139,1086,132c1088,125,1096,96,1111,44l1108,43xm1053,54c1060,62,1065,70,1067,77c1070,84,1072,87,1075,85c1078,83,1080,79,1080,73c1079,67,1071,60,1054,51l1053,54xm1072,9c1078,15,1082,23,1085,31c1088,39,1091,41,1094,36c1098,31,1098,27,1096,23c1093,18,1086,13,1073,6l1072,9xe">
            <v:stroke joinstyle="miter" miterlimit="4"/>
          </v:shape>
        </w:pict>
      </w:r>
      <w:r>
        <w:rPr>
          <w:rFonts w:ascii="Times New Roman" w:hAnsi="Times New Roman" w:eastAsia="Times New Roman" w:cs="Times New Roman"/>
          <w:color w:val="231F20"/>
          <w:spacing w:val="-3"/>
        </w:rPr>
        <w:t>1. </w:t>
      </w:r>
      <w:r>
        <w:rPr>
          <w:color w:val="231F20"/>
          <w:spacing w:val="-3"/>
        </w:rPr>
        <w:t>数据治理的内涵</w:t>
      </w:r>
    </w:p>
    <w:p>
      <w:pPr>
        <w:pStyle w:val="BodyText"/>
        <w:ind w:right="813" w:firstLine="425"/>
        <w:spacing w:before="74" w:line="272" w:lineRule="auto"/>
        <w:rPr/>
      </w:pPr>
      <w:r>
        <w:rPr>
          <w:color w:val="231F20"/>
          <w:spacing w:val="6"/>
        </w:rPr>
        <w:t>宏观层面数据治理又称为广义的数据治理，其内涵是对数据资产管理行使权利和控</w:t>
      </w:r>
      <w:r>
        <w:rPr>
          <w:color w:val="231F20"/>
          <w:spacing w:val="1"/>
        </w:rPr>
        <w:t xml:space="preserve"> </w:t>
      </w:r>
      <w:r>
        <w:rPr>
          <w:color w:val="231F20"/>
        </w:rPr>
        <w:t>制的活动集合（包括规划、监控和执行</w:t>
      </w:r>
      <w:r>
        <w:rPr>
          <w:color w:val="231F20"/>
          <w:spacing w:val="5"/>
        </w:rPr>
        <w:t>），</w:t>
      </w:r>
      <w:r>
        <w:rPr>
          <w:color w:val="231F20"/>
        </w:rPr>
        <w:t>指导其他数据管理职能如何执行，在高层次上 </w:t>
      </w:r>
      <w:r>
        <w:rPr>
          <w:color w:val="231F20"/>
        </w:rPr>
        <w:t>执行数据管理制度。组织为实现数据资产价值最大化所开展的一系列持续工作过程，明确</w:t>
      </w:r>
      <w:r>
        <w:rPr>
          <w:color w:val="231F20"/>
          <w:spacing w:val="4"/>
        </w:rPr>
        <w:t xml:space="preserve"> </w:t>
      </w:r>
      <w:r>
        <w:rPr>
          <w:color w:val="231F20"/>
          <w:spacing w:val="6"/>
        </w:rPr>
        <w:t>数据相关方的责权、协调数据相关方达成数据利益一致、促进数据相</w:t>
      </w:r>
      <w:r>
        <w:rPr>
          <w:color w:val="231F20"/>
          <w:spacing w:val="5"/>
        </w:rPr>
        <w:t>关方采取联合数据</w:t>
      </w:r>
      <w:r>
        <w:rPr>
          <w:color w:val="231F20"/>
        </w:rPr>
        <w:t xml:space="preserve"> </w:t>
      </w:r>
      <w:r>
        <w:rPr>
          <w:color w:val="231F20"/>
          <w:spacing w:val="-9"/>
        </w:rPr>
        <w:t>行动。</w:t>
      </w:r>
    </w:p>
    <w:p>
      <w:pPr>
        <w:pStyle w:val="BodyText"/>
        <w:ind w:left="422"/>
        <w:spacing w:before="73" w:line="220" w:lineRule="auto"/>
        <w:rPr/>
      </w:pPr>
      <w:r>
        <w:pict>
          <v:shape id="_x0000_s48" style="position:absolute;margin-left:42.1765pt;margin-top:4.09027pt;mso-position-vertical-relative:text;mso-position-horizontal-relative:text;width:30.95pt;height:9.75pt;z-index:-251598848;" filled="false" strokecolor="#231F20" strokeweight="0.17pt" coordsize="619,195" coordorigin="0,0" path="m108,187l108,173l164,173l164,191l175,184c175,172,174,155,174,133l181,128l169,118l163,125l141,125l141,92l192,92l178,78l169,87l141,87l141,70l148,65l130,57c131,67,131,77,131,87l93,87c94,74,95,62,95,52l164,52l164,62l175,57c175,49,174,37,174,21l181,17l169,6l163,13l96,13l83,5c84,17,84,36,84,62c83,89,80,112,74,132c68,152,58,170,46,186l49,188c74,163,88,131,92,92l131,92l131,125l108,125l96,119c97,129,97,141,97,154c97,168,97,180,96,192l108,187xm164,47l95,47l95,18l164,18l164,47xm164,169l108,169l108,130l164,130l164,169xm49,54l81,54l68,40l58,49l49,49l49,17l55,11l36,1c37,11,37,26,37,49l2,49l9,55l18,54l37,54l37,96c16,106,4,111,1,112l13,127c14,123,22,116,37,105l37,164c37,167,36,170,33,170c30,170,22,169,10,167l10,170c25,176,32,182,31,187c42,183,48,176,49,166l49,100l77,78l76,75l49,91l49,54xm434,167l441,160c462,150,482,140,503,131l502,128l469,139l469,87l501,87l487,73l477,82l469,82l469,32l501,32l487,18l477,27l425,27l433,35c439,33,445,32,452,32l458,32l458,82l427,82l434,90c440,88,447,87,454,87l458,87l458,142c452,144,441,148,424,152l434,167xm516,108l516,100l547,100l547,135l502,135l509,142c515,141,522,140,529,140l547,140l547,173l478,173l485,181c491,179,498,178,505,178l616,178l602,163l591,173l557,173l557,140l604,140l590,125l580,135l557,135l557,100l586,100l586,109l597,105c596,95,596,81,596,64l596,25l602,20l590,10l584,18l516,18l506,10c506,28,507,45,507,61c507,77,506,94,506,112l516,108xm547,55l516,55l516,23l547,23l547,55xm586,55l557,55l557,23l586,23l586,55xm547,95l516,95l516,60l547,60l547,95xm586,95l557,95l557,60l586,60l586,95xe">
            <v:stroke joinstyle="miter" miterlimit="4"/>
          </v:shape>
        </w:pict>
      </w:r>
      <w:r>
        <w:rPr>
          <w:rFonts w:ascii="Times New Roman" w:hAnsi="Times New Roman" w:eastAsia="Times New Roman" w:cs="Times New Roman"/>
          <w:color w:val="231F20"/>
          <w:spacing w:val="-1"/>
        </w:rPr>
        <w:t>2. </w:t>
      </w:r>
      <w:r>
        <w:rPr>
          <w:color w:val="231F20"/>
          <w:spacing w:val="-1"/>
        </w:rPr>
        <w:t>数据治理的核心内容</w:t>
      </w:r>
    </w:p>
    <w:p>
      <w:pPr>
        <w:pStyle w:val="BodyText"/>
        <w:ind w:left="426"/>
        <w:spacing w:before="73" w:line="220" w:lineRule="auto"/>
        <w:rPr/>
      </w:pPr>
      <w:r>
        <w:rPr>
          <w:color w:val="231F20"/>
          <w:spacing w:val="-2"/>
        </w:rPr>
        <w:t>基于上述概念，我们可以明确数据治理的几个核心内容。</w:t>
      </w:r>
    </w:p>
    <w:p>
      <w:pPr>
        <w:pStyle w:val="BodyText"/>
        <w:ind w:left="18" w:right="811" w:firstLine="308"/>
        <w:spacing w:before="75" w:line="263" w:lineRule="auto"/>
        <w:rPr/>
      </w:pPr>
      <w:r>
        <w:rPr>
          <w:color w:val="231F20"/>
          <w:spacing w:val="6"/>
        </w:rPr>
        <w:t>（</w:t>
      </w:r>
      <w:r>
        <w:rPr>
          <w:rFonts w:ascii="Times New Roman" w:hAnsi="Times New Roman" w:eastAsia="Times New Roman" w:cs="Times New Roman"/>
          <w:color w:val="231F20"/>
          <w:spacing w:val="6"/>
        </w:rPr>
        <w:t>1</w:t>
      </w:r>
      <w:r>
        <w:rPr>
          <w:color w:val="231F20"/>
          <w:spacing w:val="6"/>
        </w:rPr>
        <w:t>）以释放数据价值为目标。数据治理的首要目标是通</w:t>
      </w:r>
      <w:r>
        <w:rPr>
          <w:color w:val="231F20"/>
          <w:spacing w:val="5"/>
        </w:rPr>
        <w:t>过系统化、规范化、标准化</w:t>
      </w:r>
      <w:r>
        <w:rPr>
          <w:color w:val="231F20"/>
        </w:rPr>
        <w:t xml:space="preserve"> </w:t>
      </w:r>
      <w:r>
        <w:rPr>
          <w:color w:val="231F20"/>
          <w:spacing w:val="5"/>
        </w:rPr>
        <w:t>的流程或措施，促进对数据的深度挖掘和有效利用，从而将数据中隐藏的巨大价值释放</w:t>
      </w:r>
      <w:r>
        <w:rPr>
          <w:color w:val="231F20"/>
          <w:spacing w:val="17"/>
        </w:rPr>
        <w:t xml:space="preserve"> </w:t>
      </w:r>
      <w:r>
        <w:rPr>
          <w:color w:val="231F20"/>
          <w:spacing w:val="-13"/>
        </w:rPr>
        <w:t>出来。</w:t>
      </w:r>
    </w:p>
    <w:p>
      <w:pPr>
        <w:pStyle w:val="BodyText"/>
        <w:ind w:left="2" w:right="747" w:firstLine="324"/>
        <w:spacing w:before="74" w:line="252" w:lineRule="auto"/>
        <w:rPr/>
      </w:pPr>
      <w:r>
        <w:rPr>
          <w:color w:val="231F20"/>
          <w:spacing w:val="2"/>
        </w:rPr>
        <w:t>（</w:t>
      </w:r>
      <w:r>
        <w:rPr>
          <w:rFonts w:ascii="Times New Roman" w:hAnsi="Times New Roman" w:eastAsia="Times New Roman" w:cs="Times New Roman"/>
          <w:color w:val="231F20"/>
          <w:spacing w:val="2"/>
        </w:rPr>
        <w:t>2</w:t>
      </w:r>
      <w:r>
        <w:rPr>
          <w:color w:val="231F20"/>
          <w:spacing w:val="2"/>
        </w:rPr>
        <w:t>）以数据资产地位确立为基础。由于数据治理以数据为对象，</w:t>
      </w:r>
      <w:r>
        <w:rPr>
          <w:color w:val="231F20"/>
          <w:spacing w:val="1"/>
        </w:rPr>
        <w:t>那么作为核心要素，</w:t>
      </w:r>
      <w:r>
        <w:rPr>
          <w:color w:val="231F20"/>
        </w:rPr>
        <w:t xml:space="preserve"> </w:t>
      </w:r>
      <w:r>
        <w:rPr>
          <w:color w:val="231F20"/>
          <w:spacing w:val="-1"/>
        </w:rPr>
        <w:t>数据在社会经济发展中所处的地位直接决定了围绕数据的各项活动的开展方式、流程等。</w:t>
      </w:r>
    </w:p>
    <w:p>
      <w:pPr>
        <w:pStyle w:val="BodyText"/>
        <w:ind w:left="2" w:right="810" w:firstLine="324"/>
        <w:spacing w:before="76" w:line="263" w:lineRule="auto"/>
        <w:rPr/>
      </w:pPr>
      <w:r>
        <w:rPr>
          <w:color w:val="231F20"/>
        </w:rPr>
        <w:t>（</w:t>
      </w:r>
      <w:r>
        <w:rPr>
          <w:rFonts w:ascii="Times New Roman" w:hAnsi="Times New Roman" w:eastAsia="Times New Roman" w:cs="Times New Roman"/>
          <w:color w:val="231F20"/>
        </w:rPr>
        <w:t>3</w:t>
      </w:r>
      <w:r>
        <w:rPr>
          <w:color w:val="231F20"/>
        </w:rPr>
        <w:t>）以数据管理体制机制为核心。数据治理的重点在于建立健全规则体系，形成多方</w:t>
      </w:r>
      <w:r>
        <w:rPr>
          <w:color w:val="231F20"/>
          <w:spacing w:val="4"/>
        </w:rPr>
        <w:t xml:space="preserve"> </w:t>
      </w:r>
      <w:r>
        <w:rPr>
          <w:color w:val="231F20"/>
        </w:rPr>
        <w:t>参与者良性互动、共建共享共治的数据流通模式，因此，围绕数据的各项管理体制机制的</w:t>
      </w:r>
      <w:r>
        <w:rPr>
          <w:color w:val="231F20"/>
          <w:spacing w:val="2"/>
        </w:rPr>
        <w:t xml:space="preserve"> </w:t>
      </w:r>
      <w:r>
        <w:rPr>
          <w:color w:val="231F20"/>
          <w:spacing w:val="-2"/>
        </w:rPr>
        <w:t>建立和完善是当前国家、组织、企业等各类主体的核心。</w:t>
      </w:r>
    </w:p>
    <w:p>
      <w:pPr>
        <w:pStyle w:val="BodyText"/>
        <w:ind w:left="2" w:right="815" w:firstLine="324"/>
        <w:spacing w:before="74" w:line="263" w:lineRule="auto"/>
        <w:rPr/>
      </w:pPr>
      <w:r>
        <w:rPr>
          <w:color w:val="231F20"/>
          <w:spacing w:val="6"/>
        </w:rPr>
        <w:t>（</w:t>
      </w:r>
      <w:r>
        <w:rPr>
          <w:rFonts w:ascii="Times New Roman" w:hAnsi="Times New Roman" w:eastAsia="Times New Roman" w:cs="Times New Roman"/>
          <w:color w:val="231F20"/>
          <w:spacing w:val="6"/>
        </w:rPr>
        <w:t>4</w:t>
      </w:r>
      <w:r>
        <w:rPr>
          <w:color w:val="231F20"/>
          <w:spacing w:val="6"/>
        </w:rPr>
        <w:t>）以数据共享开放利用为重点。数据治理的目标在</w:t>
      </w:r>
      <w:r>
        <w:rPr>
          <w:color w:val="231F20"/>
          <w:spacing w:val="5"/>
        </w:rPr>
        <w:t>于保障数据的有序流通，进而</w:t>
      </w:r>
      <w:r>
        <w:rPr>
          <w:color w:val="231F20"/>
        </w:rPr>
        <w:t xml:space="preserve"> </w:t>
      </w:r>
      <w:r>
        <w:rPr>
          <w:color w:val="231F20"/>
        </w:rPr>
        <w:t>不断释放数据的价值。而数据流通的主要活动包括数据的共享、开放以及</w:t>
      </w:r>
      <w:r>
        <w:rPr>
          <w:color w:val="231F20"/>
          <w:spacing w:val="-1"/>
        </w:rPr>
        <w:t>有序的开发利用</w:t>
      </w:r>
      <w:r>
        <w:rPr>
          <w:color w:val="231F20"/>
        </w:rPr>
        <w:t xml:space="preserve"> </w:t>
      </w:r>
      <w:r>
        <w:rPr>
          <w:color w:val="231F20"/>
          <w:spacing w:val="-2"/>
        </w:rPr>
        <w:t>等，这也成为当前阶段数据治理工作的重点。</w:t>
      </w:r>
    </w:p>
    <w:p>
      <w:pPr>
        <w:pStyle w:val="BodyText"/>
        <w:ind w:left="1" w:right="815" w:firstLine="325"/>
        <w:spacing w:before="75" w:line="263" w:lineRule="auto"/>
        <w:rPr/>
      </w:pPr>
      <w:r>
        <w:rPr>
          <w:color w:val="231F20"/>
          <w:spacing w:val="6"/>
        </w:rPr>
        <w:t>（</w:t>
      </w:r>
      <w:r>
        <w:rPr>
          <w:rFonts w:ascii="Times New Roman" w:hAnsi="Times New Roman" w:eastAsia="Times New Roman" w:cs="Times New Roman"/>
          <w:color w:val="231F20"/>
          <w:spacing w:val="6"/>
        </w:rPr>
        <w:t>5</w:t>
      </w:r>
      <w:r>
        <w:rPr>
          <w:color w:val="231F20"/>
          <w:spacing w:val="6"/>
        </w:rPr>
        <w:t>）以数据安全与隐私保护为底线。数据治理要以国</w:t>
      </w:r>
      <w:r>
        <w:rPr>
          <w:color w:val="231F20"/>
          <w:spacing w:val="5"/>
        </w:rPr>
        <w:t>家、企业和个人信息安全为前</w:t>
      </w:r>
      <w:r>
        <w:rPr>
          <w:color w:val="231F20"/>
        </w:rPr>
        <w:t xml:space="preserve"> </w:t>
      </w:r>
      <w:r>
        <w:rPr>
          <w:color w:val="231F20"/>
        </w:rPr>
        <w:t>提，否则再好的数据治理模式也是有违社会正义的。因此，保障数据安全与隐私保护的各</w:t>
      </w:r>
      <w:r>
        <w:rPr>
          <w:color w:val="231F20"/>
          <w:spacing w:val="9"/>
        </w:rPr>
        <w:t xml:space="preserve"> </w:t>
      </w:r>
      <w:r>
        <w:rPr>
          <w:color w:val="231F20"/>
          <w:spacing w:val="-3"/>
        </w:rPr>
        <w:t>项活动是数据治理的底线保障。</w:t>
      </w:r>
    </w:p>
    <w:p>
      <w:pPr>
        <w:spacing w:line="263" w:lineRule="auto"/>
        <w:sectPr>
          <w:footerReference w:type="default" r:id="rId41"/>
          <w:pgSz w:w="10489" w:h="14741"/>
          <w:pgMar w:top="679" w:right="328" w:bottom="734" w:left="1141" w:header="0" w:footer="552" w:gutter="0"/>
        </w:sectPr>
        <w:rPr/>
      </w:pPr>
    </w:p>
    <w:p>
      <w:pPr>
        <w:spacing w:before="78" w:line="215" w:lineRule="auto"/>
        <w:rPr>
          <w:rFonts w:ascii="Microsoft YaHei" w:hAnsi="Microsoft YaHei" w:eastAsia="Microsoft YaHei" w:cs="Microsoft YaHei"/>
          <w:sz w:val="18"/>
          <w:szCs w:val="18"/>
        </w:rPr>
      </w:pPr>
      <w:r>
        <w:pict>
          <v:rect id="_x0000_s50" style="position:absolute;margin-left:103.002pt;margin-top:165.671pt;mso-position-vertical-relative:page;mso-position-horizontal-relative:page;width:0.5pt;height:15.15pt;z-index:251738112;" o:allowincell="f" fillcolor="#231F20" filled="true" stroked="false"/>
        </w:pict>
      </w:r>
      <w:r>
        <w:pict>
          <v:rect id="_x0000_s52" style="position:absolute;margin-left:103.002pt;margin-top:197.046pt;mso-position-vertical-relative:page;mso-position-horizontal-relative:page;width:0.5pt;height:15.65pt;z-index:251739136;" o:allowincell="f" fillcolor="#231F20" filled="true" stroked="false"/>
        </w:pict>
      </w:r>
      <w:r>
        <w:pict>
          <v:rect id="_x0000_s54" style="position:absolute;margin-left:158.385pt;margin-top:166.546pt;mso-position-vertical-relative:page;mso-position-horizontal-relative:page;width:15.65pt;height:0.5pt;z-index:251737088;" o:allowincell="f" fillcolor="#231F20" filled="true" stroked="false"/>
        </w:pict>
      </w:r>
      <w:r>
        <w:pict>
          <v:rect id="_x0000_s56" style="position:absolute;margin-left:127.01pt;margin-top:166.546pt;mso-position-vertical-relative:page;mso-position-horizontal-relative:page;width:15.15pt;height:0.5pt;z-index:251735040;" o:allowincell="f" fillcolor="#231F20" filled="true" stroked="false"/>
        </w:pict>
      </w:r>
      <w:r>
        <w:pict>
          <v:rect id="_x0000_s58" style="position:absolute;margin-left:213.51pt;margin-top:166.546pt;mso-position-vertical-relative:page;mso-position-horizontal-relative:page;width:15.65pt;height:0.5pt;z-index:251736064;" o:allowincell="f" fillcolor="#231F20" filled="true" stroked="false"/>
        </w:pict>
      </w:r>
      <w:r>
        <w:pict>
          <v:rect id="_x0000_s60" style="position:absolute;margin-left:182.135pt;margin-top:166.546pt;mso-position-vertical-relative:page;mso-position-horizontal-relative:page;width:15.15pt;height:0.5pt;z-index:251734016;" o:allowincell="f" fillcolor="#231F20" filled="true" stroked="false"/>
        </w:pict>
      </w:r>
      <w:r>
        <w:pict>
          <v:shape id="_x0000_s62" style="position:absolute;margin-left:140.885pt;margin-top:165.796pt;mso-position-vertical-relative:page;mso-position-horizontal-relative:page;width:18.75pt;height:48.15pt;z-index:25173196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325" w:type="dxa"/>
                    <w:tblInd w:w="25" w:type="dxa"/>
                    <w:tblLayout w:type="fixed"/>
                    <w:tblBorders>
                      <w:left w:val="single" w:color="231F20" w:sz="4" w:space="0"/>
                      <w:bottom w:val="single" w:color="231F20" w:sz="4" w:space="0"/>
                      <w:right w:val="single" w:color="231F20" w:sz="4" w:space="0"/>
                    </w:tblBorders>
                  </w:tblPr>
                  <w:tblGrid>
                    <w:gridCol w:w="325"/>
                  </w:tblGrid>
                  <w:tr>
                    <w:trPr>
                      <w:trHeight w:val="912" w:hRule="atLeast"/>
                    </w:trPr>
                    <w:tc>
                      <w:tcPr>
                        <w:tcW w:w="325" w:type="dxa"/>
                        <w:vAlign w:val="top"/>
                        <w:textDirection w:val="tbRlV"/>
                      </w:tcPr>
                      <w:p>
                        <w:pPr>
                          <w:pStyle w:val="TableText"/>
                          <w:ind w:left="86"/>
                          <w:spacing w:before="62" w:line="216" w:lineRule="auto"/>
                          <w:rPr/>
                        </w:pPr>
                        <w:r>
                          <w:rPr>
                            <w:color w:val="231F20"/>
                          </w:rPr>
                          <w:t>开放共享</w:t>
                        </w:r>
                      </w:p>
                    </w:tc>
                  </w:tr>
                </w:tbl>
                <w:p>
                  <w:pPr>
                    <w:rPr>
                      <w:rFonts w:ascii="Arial"/>
                      <w:sz w:val="21"/>
                    </w:rPr>
                  </w:pPr>
                  <w:r/>
                </w:p>
              </w:txbxContent>
            </v:textbox>
          </v:shape>
        </w:pict>
      </w:r>
      <w:r>
        <w:pict>
          <v:shape id="_x0000_s64" style="position:absolute;margin-left:196.01pt;margin-top:165.796pt;mso-position-vertical-relative:page;mso-position-horizontal-relative:page;width:18.75pt;height:48.15pt;z-index:25173299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325" w:type="dxa"/>
                    <w:tblInd w:w="25" w:type="dxa"/>
                    <w:tblLayout w:type="fixed"/>
                    <w:tblBorders>
                      <w:left w:val="single" w:color="231F20" w:sz="4" w:space="0"/>
                      <w:bottom w:val="single" w:color="231F20" w:sz="4" w:space="0"/>
                      <w:right w:val="single" w:color="231F20" w:sz="4" w:space="0"/>
                    </w:tblBorders>
                  </w:tblPr>
                  <w:tblGrid>
                    <w:gridCol w:w="325"/>
                  </w:tblGrid>
                  <w:tr>
                    <w:trPr>
                      <w:trHeight w:val="912" w:hRule="atLeast"/>
                    </w:trPr>
                    <w:tc>
                      <w:tcPr>
                        <w:tcW w:w="325" w:type="dxa"/>
                        <w:vAlign w:val="top"/>
                        <w:textDirection w:val="tbRlV"/>
                      </w:tcPr>
                      <w:p>
                        <w:pPr>
                          <w:pStyle w:val="TableText"/>
                          <w:ind w:left="86"/>
                          <w:spacing w:before="62" w:line="216" w:lineRule="auto"/>
                          <w:rPr/>
                        </w:pPr>
                        <w:r>
                          <w:rPr>
                            <w:color w:val="231F20"/>
                          </w:rPr>
                          <w:t>管理体制</w:t>
                        </w:r>
                      </w:p>
                    </w:tc>
                  </w:tr>
                </w:tbl>
                <w:p>
                  <w:pPr>
                    <w:rPr>
                      <w:rFonts w:ascii="Arial"/>
                      <w:sz w:val="21"/>
                    </w:rPr>
                  </w:pPr>
                  <w:r/>
                </w:p>
              </w:txbxContent>
            </v:textbox>
          </v:shape>
        </w:pict>
      </w:r>
      <w:r>
        <w:drawing>
          <wp:anchor distT="0" distB="0" distL="0" distR="0" simplePos="0" relativeHeight="251724800" behindDoc="1" locked="0" layoutInCell="0" allowOverlap="1">
            <wp:simplePos x="0" y="0"/>
            <wp:positionH relativeFrom="page">
              <wp:posOffset>1309054</wp:posOffset>
            </wp:positionH>
            <wp:positionV relativeFrom="page">
              <wp:posOffset>2101750</wp:posOffset>
            </wp:positionV>
            <wp:extent cx="306216" cy="601402"/>
            <wp:effectExtent l="0" t="0" r="0" b="0"/>
            <wp:wrapNone/>
            <wp:docPr id="70" name="IM 70"/>
            <wp:cNvGraphicFramePr/>
            <a:graphic>
              <a:graphicData uri="http://schemas.openxmlformats.org/drawingml/2006/picture">
                <pic:pic>
                  <pic:nvPicPr>
                    <pic:cNvPr id="70" name="IM 70"/>
                    <pic:cNvPicPr/>
                  </pic:nvPicPr>
                  <pic:blipFill>
                    <a:blip r:embed="rId46"/>
                    <a:stretch>
                      <a:fillRect/>
                    </a:stretch>
                  </pic:blipFill>
                  <pic:spPr>
                    <a:xfrm rot="0">
                      <a:off x="0" y="0"/>
                      <a:ext cx="306216" cy="601402"/>
                    </a:xfrm>
                    <a:prstGeom prst="rect">
                      <a:avLst/>
                    </a:prstGeom>
                  </pic:spPr>
                </pic:pic>
              </a:graphicData>
            </a:graphic>
          </wp:anchor>
        </w:drawing>
      </w:r>
      <w:r>
        <w:pict>
          <v:shape id="_x0000_s66" style="position:absolute;margin-left:126.831pt;margin-top:142.861pt;mso-position-vertical-relative:page;mso-position-horizontal-relative:page;width:47.4pt;height:24.15pt;z-index:-251586560;" o:allowincell="f" filled="false" strokecolor="#231F20" strokeweight="0.50pt" coordsize="948,482" coordorigin="0,0" path="m468,3l943,478m3,478l468,3e">
            <v:stroke joinstyle="miter" miterlimit="4"/>
          </v:shape>
        </w:pict>
      </w:r>
      <w:r>
        <w:drawing>
          <wp:anchor distT="0" distB="0" distL="0" distR="0" simplePos="0" relativeHeight="251726848" behindDoc="1" locked="0" layoutInCell="1" allowOverlap="1">
            <wp:simplePos x="0" y="0"/>
            <wp:positionH relativeFrom="column">
              <wp:posOffset>108299</wp:posOffset>
            </wp:positionH>
            <wp:positionV relativeFrom="paragraph">
              <wp:posOffset>79371</wp:posOffset>
            </wp:positionV>
            <wp:extent cx="83329" cy="46985"/>
            <wp:effectExtent l="0" t="0" r="0" b="0"/>
            <wp:wrapNone/>
            <wp:docPr id="72" name="IM 72"/>
            <wp:cNvGraphicFramePr/>
            <a:graphic>
              <a:graphicData uri="http://schemas.openxmlformats.org/drawingml/2006/picture">
                <pic:pic>
                  <pic:nvPicPr>
                    <pic:cNvPr id="72" name="IM 72"/>
                    <pic:cNvPicPr/>
                  </pic:nvPicPr>
                  <pic:blipFill>
                    <a:blip r:embed="rId47"/>
                    <a:stretch>
                      <a:fillRect/>
                    </a:stretch>
                  </pic:blipFill>
                  <pic:spPr>
                    <a:xfrm rot="0">
                      <a:off x="0" y="0"/>
                      <a:ext cx="83329" cy="46985"/>
                    </a:xfrm>
                    <a:prstGeom prst="rect">
                      <a:avLst/>
                    </a:prstGeom>
                  </pic:spPr>
                </pic:pic>
              </a:graphicData>
            </a:graphic>
          </wp:anchor>
        </w:drawing>
      </w:r>
      <w:r>
        <w:drawing>
          <wp:anchor distT="0" distB="0" distL="0" distR="0" simplePos="0" relativeHeight="251725824" behindDoc="1" locked="0" layoutInCell="1" allowOverlap="1">
            <wp:simplePos x="0" y="0"/>
            <wp:positionH relativeFrom="column">
              <wp:posOffset>39650</wp:posOffset>
            </wp:positionH>
            <wp:positionV relativeFrom="paragraph">
              <wp:posOffset>120488</wp:posOffset>
            </wp:positionV>
            <wp:extent cx="151978" cy="68277"/>
            <wp:effectExtent l="0" t="0" r="0" b="0"/>
            <wp:wrapNone/>
            <wp:docPr id="74" name="IM 74"/>
            <wp:cNvGraphicFramePr/>
            <a:graphic>
              <a:graphicData uri="http://schemas.openxmlformats.org/drawingml/2006/picture">
                <pic:pic>
                  <pic:nvPicPr>
                    <pic:cNvPr id="74" name="IM 74"/>
                    <pic:cNvPicPr/>
                  </pic:nvPicPr>
                  <pic:blipFill>
                    <a:blip r:embed="rId48"/>
                    <a:stretch>
                      <a:fillRect/>
                    </a:stretch>
                  </pic:blipFill>
                  <pic:spPr>
                    <a:xfrm rot="0">
                      <a:off x="0" y="0"/>
                      <a:ext cx="151978" cy="68277"/>
                    </a:xfrm>
                    <a:prstGeom prst="rect">
                      <a:avLst/>
                    </a:prstGeom>
                  </pic:spPr>
                </pic:pic>
              </a:graphicData>
            </a:graphic>
          </wp:anchor>
        </w:drawing>
      </w:r>
      <w:r>
        <w:rPr>
          <w:rFonts w:ascii="Microsoft YaHei" w:hAnsi="Microsoft YaHei" w:eastAsia="Microsoft YaHei" w:cs="Microsoft YaHei"/>
          <w:sz w:val="18"/>
          <w:szCs w:val="18"/>
          <w:color w:val="D9D9D9"/>
          <w:position w:val="-5"/>
        </w:rPr>
        <w:drawing>
          <wp:inline distT="0" distB="0" distL="0" distR="0">
            <wp:extent cx="369303" cy="250002"/>
            <wp:effectExtent l="0" t="0" r="0" b="0"/>
            <wp:docPr id="76" name="IM 76"/>
            <wp:cNvGraphicFramePr/>
            <a:graphic>
              <a:graphicData uri="http://schemas.openxmlformats.org/drawingml/2006/picture">
                <pic:pic>
                  <pic:nvPicPr>
                    <pic:cNvPr id="76" name="IM 76"/>
                    <pic:cNvPicPr/>
                  </pic:nvPicPr>
                  <pic:blipFill>
                    <a:blip r:embed="rId49"/>
                    <a:stretch>
                      <a:fillRect/>
                    </a:stretch>
                  </pic:blipFill>
                  <pic:spPr>
                    <a:xfrm rot="0">
                      <a:off x="0" y="0"/>
                      <a:ext cx="369303" cy="250002"/>
                    </a:xfrm>
                    <a:prstGeom prst="rect">
                      <a:avLst/>
                    </a:prstGeom>
                  </pic:spPr>
                </pic:pic>
              </a:graphicData>
            </a:graphic>
          </wp:inline>
        </w:drawing>
      </w:r>
      <w:r>
        <w:rPr>
          <w:rFonts w:ascii="Microsoft YaHei" w:hAnsi="Microsoft YaHei" w:eastAsia="Microsoft YaHei" w:cs="Microsoft YaHei"/>
          <w:sz w:val="18"/>
          <w:szCs w:val="18"/>
          <w:color w:val="D9D9D9"/>
          <w:spacing w:val="49"/>
        </w:rPr>
        <w:t xml:space="preserve"> </w:t>
      </w:r>
      <w:r>
        <w:rPr>
          <w:rFonts w:ascii="Microsoft YaHei" w:hAnsi="Microsoft YaHei" w:eastAsia="Microsoft YaHei" w:cs="Microsoft YaHei"/>
          <w:sz w:val="18"/>
          <w:szCs w:val="18"/>
          <w:color w:val="D9D9D9"/>
          <w:spacing w:val="2"/>
        </w:rPr>
        <w:t>数据治理</w:t>
      </w:r>
      <w:r>
        <w:rPr>
          <w:rFonts w:ascii="Microsoft YaHei" w:hAnsi="Microsoft YaHei" w:eastAsia="Microsoft YaHei" w:cs="Microsoft YaHei"/>
          <w:sz w:val="18"/>
          <w:szCs w:val="18"/>
          <w:color w:val="D9D9D9"/>
          <w:spacing w:val="48"/>
          <w:w w:val="101"/>
        </w:rPr>
        <w:t xml:space="preserve"> </w:t>
      </w:r>
      <w:r>
        <w:rPr>
          <w:rFonts w:ascii="Microsoft YaHei" w:hAnsi="Microsoft YaHei" w:eastAsia="Microsoft YaHei" w:cs="Microsoft YaHei"/>
          <w:sz w:val="18"/>
          <w:szCs w:val="18"/>
          <w:color w:val="4B4C4D"/>
          <w:spacing w:val="2"/>
        </w:rPr>
        <w:t>理论、方法与实践</w:t>
      </w:r>
    </w:p>
    <w:p>
      <w:pPr>
        <w:spacing w:line="335" w:lineRule="auto"/>
        <w:rPr>
          <w:rFonts w:ascii="Arial"/>
          <w:sz w:val="21"/>
        </w:rPr>
      </w:pPr>
      <w:r/>
    </w:p>
    <w:p>
      <w:pPr>
        <w:pStyle w:val="BodyText"/>
        <w:ind w:left="1003"/>
        <w:spacing w:before="68" w:line="219" w:lineRule="auto"/>
        <w:rPr/>
      </w:pPr>
      <w:r>
        <w:pict>
          <v:shape id="_x0000_s68" style="position:absolute;margin-left:71.032pt;margin-top:3.78553pt;mso-position-vertical-relative:text;mso-position-horizontal-relative:text;width:41pt;height:9.85pt;z-index:-251588608;" filled="false" strokecolor="#231F20" strokeweight="0.17pt" coordsize="820,197" coordorigin="0,0" path="m108,189l108,175l164,175l164,192l175,186c175,174,174,157,174,135l181,130l169,119l163,127l141,127l141,94l192,94l178,80l169,89l141,89l141,72l148,67l130,59c131,68,131,79,131,89l93,89c94,76,95,64,95,54l164,54l164,64l175,59c175,51,174,39,174,23l181,18l169,8l163,14l96,14l83,7c84,18,84,37,84,64c83,90,80,114,74,134c68,154,58,172,46,187l49,190c74,165,88,133,92,94l131,94l131,127l108,127l96,120c97,131,97,142,97,156c97,169,97,182,96,194l108,189xm164,49l95,49l95,19l164,19l164,49xm164,170l108,170l108,132l164,132l164,170xm49,55l81,55l68,41l58,50l49,50l49,18l55,13l36,3c37,12,37,28,37,50l2,50l9,57l18,55l37,55l37,97c16,108,4,113,1,114l13,128c14,125,22,118,37,107l37,165c37,169,36,171,33,171c30,172,22,171,10,169l10,172c25,178,32,184,31,189c42,185,48,178,49,168l49,101l77,80l76,77l49,92l49,55xm703,101l661,101l661,49l703,49l703,101xm703,164l661,164l661,106l703,106l703,164xm722,48l710,36l702,44l675,44c684,25,691,14,697,11l679,1c678,11,675,25,670,44l662,44l649,36c650,62,650,87,650,112c650,138,650,163,649,189l661,182l661,169l703,169l703,186l715,179c714,160,714,118,714,54l722,48xm742,43c736,57,728,72,717,90l719,91c730,80,740,67,750,51l798,51c797,112,795,148,794,157c793,166,789,171,783,171c777,171,767,170,753,167l753,171c769,175,778,182,781,191c788,188,794,185,797,182c801,178,804,173,806,164c807,156,809,119,810,55l817,50l805,37l796,46l752,46c761,27,768,15,772,13l754,2c752,16,747,29,742,43m738,85c745,95,750,106,752,117c754,128,757,131,762,125c766,120,767,114,764,107c761,100,753,92,739,82l738,85xe">
            <v:stroke joinstyle="miter" miterlimit="4"/>
          </v:shape>
        </w:pict>
      </w:r>
      <w:r>
        <w:rPr>
          <w:rFonts w:ascii="Times New Roman" w:hAnsi="Times New Roman" w:eastAsia="Times New Roman" w:cs="Times New Roman"/>
          <w:color w:val="231F20"/>
          <w:spacing w:val="-2"/>
        </w:rPr>
        <w:t>3. </w:t>
      </w:r>
      <w:r>
        <w:rPr>
          <w:color w:val="231F20"/>
          <w:spacing w:val="-2"/>
        </w:rPr>
        <w:t>数据治理的核心</w:t>
      </w:r>
      <w:r>
        <w:rPr>
          <w:color w:val="231F20"/>
          <w:spacing w:val="-51"/>
        </w:rPr>
        <w:t xml:space="preserve"> </w:t>
      </w:r>
      <w:r>
        <w:rPr>
          <w:color w:val="231F20"/>
          <w:spacing w:val="-2"/>
        </w:rPr>
        <w:t>目标与价值取向</w:t>
      </w:r>
    </w:p>
    <w:p>
      <w:pPr>
        <w:pStyle w:val="BodyText"/>
        <w:ind w:left="1005"/>
        <w:spacing w:before="74" w:line="219" w:lineRule="auto"/>
        <w:rPr/>
      </w:pPr>
      <w:r>
        <w:rPr>
          <w:color w:val="231F20"/>
        </w:rPr>
        <w:t>综合来说，数据治理的核心目标就是通过各种方式提升数据的价值，而提升数据价值</w:t>
      </w:r>
    </w:p>
    <w:p>
      <w:pPr>
        <w:spacing w:line="75" w:lineRule="exact"/>
        <w:rPr/>
      </w:pPr>
      <w:r/>
    </w:p>
    <w:p>
      <w:pPr>
        <w:spacing w:line="75" w:lineRule="exact"/>
        <w:sectPr>
          <w:footerReference w:type="default" r:id="rId45"/>
          <w:pgSz w:w="10489" w:h="14741"/>
          <w:pgMar w:top="482" w:right="1058" w:bottom="734" w:left="564" w:header="0" w:footer="552" w:gutter="0"/>
          <w:cols w:equalWidth="0" w:num="1">
            <w:col w:w="8866" w:space="0"/>
          </w:cols>
        </w:sectPr>
        <w:rPr/>
      </w:pPr>
    </w:p>
    <w:p>
      <w:pPr>
        <w:spacing w:before="102"/>
        <w:rPr/>
      </w:pPr>
      <w:r/>
    </w:p>
    <w:tbl>
      <w:tblPr>
        <w:tblStyle w:val="TableNormal"/>
        <w:tblW w:w="1125" w:type="dxa"/>
        <w:tblInd w:w="2434" w:type="dxa"/>
        <w:shd w:val="clear" w:fill="FFFFFF"/>
        <w:tblLayout w:type="fixed"/>
        <w:tblBorders>
          <w:left w:val="single" w:color="231F20" w:sz="4" w:space="0"/>
          <w:bottom w:val="single" w:color="231F20" w:sz="4" w:space="0"/>
          <w:right w:val="single" w:color="231F20" w:sz="4" w:space="0"/>
          <w:top w:val="single" w:color="231F20" w:sz="4" w:space="0"/>
        </w:tblBorders>
      </w:tblPr>
      <w:tblGrid>
        <w:gridCol w:w="1125"/>
      </w:tblGrid>
      <w:tr>
        <w:trPr>
          <w:trHeight w:val="375" w:hRule="atLeast"/>
        </w:trPr>
        <w:tc>
          <w:tcPr>
            <w:shd w:val="clear" w:fill="FFFFFF"/>
            <w:tcW w:w="1125" w:type="dxa"/>
            <w:vAlign w:val="top"/>
          </w:tcPr>
          <w:p>
            <w:pPr>
              <w:pStyle w:val="TableText"/>
              <w:ind w:left="205"/>
              <w:spacing w:before="84" w:line="219" w:lineRule="auto"/>
              <w:rPr/>
            </w:pPr>
            <w:r>
              <w:drawing>
                <wp:anchor distT="0" distB="0" distL="0" distR="0" simplePos="0" relativeHeight="251728896" behindDoc="1" locked="0" layoutInCell="1" allowOverlap="1">
                  <wp:simplePos x="0" y="0"/>
                  <wp:positionH relativeFrom="column">
                    <wp:posOffset>-291208</wp:posOffset>
                  </wp:positionH>
                  <wp:positionV relativeFrom="paragraph">
                    <wp:posOffset>-114406</wp:posOffset>
                  </wp:positionV>
                  <wp:extent cx="1290447" cy="466718"/>
                  <wp:effectExtent l="0" t="0" r="0" b="0"/>
                  <wp:wrapNone/>
                  <wp:docPr id="78" name="IM 78"/>
                  <wp:cNvGraphicFramePr/>
                  <a:graphic>
                    <a:graphicData uri="http://schemas.openxmlformats.org/drawingml/2006/picture">
                      <pic:pic>
                        <pic:nvPicPr>
                          <pic:cNvPr id="78" name="IM 78"/>
                          <pic:cNvPicPr/>
                        </pic:nvPicPr>
                        <pic:blipFill>
                          <a:blip r:embed="rId50"/>
                          <a:stretch>
                            <a:fillRect/>
                          </a:stretch>
                        </pic:blipFill>
                        <pic:spPr>
                          <a:xfrm rot="0">
                            <a:off x="0" y="0"/>
                            <a:ext cx="1290447" cy="466718"/>
                          </a:xfrm>
                          <a:prstGeom prst="rect">
                            <a:avLst/>
                          </a:prstGeom>
                        </pic:spPr>
                      </pic:pic>
                    </a:graphicData>
                  </a:graphic>
                </wp:anchor>
              </w:drawing>
            </w:r>
            <w:r>
              <w:rPr>
                <w:color w:val="231F20"/>
                <w:spacing w:val="-2"/>
              </w:rPr>
              <w:t>价值提升</w:t>
            </w:r>
          </w:p>
        </w:tc>
      </w:tr>
    </w:tbl>
    <w:p>
      <w:pPr>
        <w:ind w:firstLine="3075"/>
        <w:spacing w:before="109" w:line="483" w:lineRule="exact"/>
        <w:rPr/>
      </w:pPr>
      <w:r>
        <w:rPr>
          <w:position w:val="-9"/>
        </w:rPr>
        <w:drawing>
          <wp:inline distT="0" distB="0" distL="0" distR="0">
            <wp:extent cx="601414" cy="306216"/>
            <wp:effectExtent l="0" t="0" r="0" b="0"/>
            <wp:docPr id="80" name="IM 80"/>
            <wp:cNvGraphicFramePr/>
            <a:graphic>
              <a:graphicData uri="http://schemas.openxmlformats.org/drawingml/2006/picture">
                <pic:pic>
                  <pic:nvPicPr>
                    <pic:cNvPr id="80" name="IM 80"/>
                    <pic:cNvPicPr/>
                  </pic:nvPicPr>
                  <pic:blipFill>
                    <a:blip r:embed="rId51"/>
                    <a:stretch>
                      <a:fillRect/>
                    </a:stretch>
                  </pic:blipFill>
                  <pic:spPr>
                    <a:xfrm rot="0">
                      <a:off x="0" y="0"/>
                      <a:ext cx="601414" cy="306216"/>
                    </a:xfrm>
                    <a:prstGeom prst="rect">
                      <a:avLst/>
                    </a:prstGeom>
                  </pic:spPr>
                </pic:pic>
              </a:graphicData>
            </a:graphic>
          </wp:inline>
        </w:drawing>
      </w:r>
    </w:p>
    <w:p>
      <w:pPr>
        <w:spacing w:before="29"/>
        <w:rPr/>
      </w:pPr>
      <w:r/>
    </w:p>
    <w:tbl>
      <w:tblPr>
        <w:tblStyle w:val="TableNormal"/>
        <w:tblW w:w="917" w:type="dxa"/>
        <w:tblInd w:w="583" w:type="dxa"/>
        <w:tblLayout w:type="fixed"/>
        <w:tblBorders>
          <w:left w:val="single" w:color="231F20" w:sz="4" w:space="0"/>
          <w:bottom w:val="single" w:color="231F20" w:sz="4" w:space="0"/>
          <w:top w:val="single" w:color="231F20" w:sz="4" w:space="0"/>
        </w:tblBorders>
      </w:tblPr>
      <w:tblGrid>
        <w:gridCol w:w="917"/>
      </w:tblGrid>
      <w:tr>
        <w:trPr>
          <w:trHeight w:val="315" w:hRule="atLeast"/>
        </w:trPr>
        <w:tc>
          <w:tcPr>
            <w:tcW w:w="917" w:type="dxa"/>
            <w:vAlign w:val="top"/>
          </w:tcPr>
          <w:p>
            <w:pPr>
              <w:pStyle w:val="TableText"/>
              <w:ind w:right="9"/>
              <w:spacing w:before="59" w:line="221" w:lineRule="auto"/>
              <w:jc w:val="right"/>
              <w:rPr/>
            </w:pPr>
            <w:r>
              <w:rPr>
                <w:color w:val="231F20"/>
                <w:spacing w:val="-2"/>
              </w:rPr>
              <w:t>安全隐私</w:t>
            </w:r>
          </w:p>
        </w:tc>
      </w:tr>
    </w:tbl>
    <w:p>
      <w:pPr>
        <w:spacing w:before="15"/>
        <w:rPr/>
      </w:pPr>
      <w:r/>
    </w:p>
    <w:p>
      <w:pPr>
        <w:spacing w:before="14"/>
        <w:rPr/>
      </w:pPr>
      <w:r/>
    </w:p>
    <w:tbl>
      <w:tblPr>
        <w:tblStyle w:val="TableNormal"/>
        <w:tblW w:w="1125" w:type="dxa"/>
        <w:tblInd w:w="2434" w:type="dxa"/>
        <w:shd w:val="clear" w:fill="FFFFFF"/>
        <w:tblLayout w:type="fixed"/>
        <w:tblBorders>
          <w:left w:val="single" w:color="231F20" w:sz="4" w:space="0"/>
          <w:bottom w:val="single" w:color="231F20" w:sz="4" w:space="0"/>
          <w:right w:val="single" w:color="231F20" w:sz="4" w:space="0"/>
          <w:top w:val="single" w:color="231F20" w:sz="4" w:space="0"/>
        </w:tblBorders>
      </w:tblPr>
      <w:tblGrid>
        <w:gridCol w:w="1125"/>
      </w:tblGrid>
      <w:tr>
        <w:trPr>
          <w:trHeight w:val="375" w:hRule="atLeast"/>
        </w:trPr>
        <w:tc>
          <w:tcPr>
            <w:shd w:val="clear" w:fill="FFFFFF"/>
            <w:tcW w:w="1125" w:type="dxa"/>
            <w:vAlign w:val="top"/>
          </w:tcPr>
          <w:p>
            <w:pPr>
              <w:pStyle w:val="TableText"/>
              <w:ind w:left="212"/>
              <w:spacing w:before="84" w:line="220" w:lineRule="auto"/>
              <w:rPr/>
            </w:pPr>
            <w:r>
              <w:drawing>
                <wp:anchor distT="0" distB="0" distL="0" distR="0" simplePos="0" relativeHeight="251730944" behindDoc="1" locked="0" layoutInCell="1" allowOverlap="1">
                  <wp:simplePos x="0" y="0"/>
                  <wp:positionH relativeFrom="column">
                    <wp:posOffset>-291208</wp:posOffset>
                  </wp:positionH>
                  <wp:positionV relativeFrom="paragraph">
                    <wp:posOffset>-114139</wp:posOffset>
                  </wp:positionV>
                  <wp:extent cx="1290447" cy="466725"/>
                  <wp:effectExtent l="0" t="0" r="0" b="0"/>
                  <wp:wrapNone/>
                  <wp:docPr id="82" name="IM 82"/>
                  <wp:cNvGraphicFramePr/>
                  <a:graphic>
                    <a:graphicData uri="http://schemas.openxmlformats.org/drawingml/2006/picture">
                      <pic:pic>
                        <pic:nvPicPr>
                          <pic:cNvPr id="82" name="IM 82"/>
                          <pic:cNvPicPr/>
                        </pic:nvPicPr>
                        <pic:blipFill>
                          <a:blip r:embed="rId52"/>
                          <a:stretch>
                            <a:fillRect/>
                          </a:stretch>
                        </pic:blipFill>
                        <pic:spPr>
                          <a:xfrm rot="0">
                            <a:off x="0" y="0"/>
                            <a:ext cx="1290447" cy="466725"/>
                          </a:xfrm>
                          <a:prstGeom prst="rect">
                            <a:avLst/>
                          </a:prstGeom>
                        </pic:spPr>
                      </pic:pic>
                    </a:graphicData>
                  </a:graphic>
                </wp:anchor>
              </w:drawing>
            </w:r>
            <w:r>
              <w:rPr>
                <w:color w:val="231F20"/>
                <w:spacing w:val="-3"/>
              </w:rPr>
              <w:t>资产地位</w:t>
            </w:r>
          </w:p>
        </w:tc>
      </w:tr>
    </w:tbl>
    <w:p>
      <w:pPr>
        <w:pStyle w:val="BodyText"/>
        <w:ind w:left="1204"/>
        <w:spacing w:before="291" w:line="220" w:lineRule="auto"/>
        <w:rPr>
          <w:sz w:val="18"/>
          <w:szCs w:val="18"/>
        </w:rPr>
      </w:pPr>
      <w:r>
        <w:rPr>
          <w:sz w:val="18"/>
          <w:szCs w:val="18"/>
          <w:color w:val="231F20"/>
          <w:spacing w:val="-3"/>
        </w:rPr>
        <w:t>图</w:t>
      </w:r>
      <w:r>
        <w:rPr>
          <w:sz w:val="18"/>
          <w:szCs w:val="18"/>
          <w:color w:val="231F20"/>
          <w:spacing w:val="-19"/>
        </w:rPr>
        <w:t xml:space="preserve"> </w:t>
      </w:r>
      <w:r>
        <w:rPr>
          <w:rFonts w:ascii="Times New Roman" w:hAnsi="Times New Roman" w:eastAsia="Times New Roman" w:cs="Times New Roman"/>
          <w:sz w:val="18"/>
          <w:szCs w:val="18"/>
          <w:color w:val="231F20"/>
          <w:spacing w:val="-3"/>
        </w:rPr>
        <w:t>1.2    </w:t>
      </w:r>
      <w:r>
        <w:rPr>
          <w:sz w:val="18"/>
          <w:szCs w:val="18"/>
          <w:color w:val="231F20"/>
          <w:spacing w:val="-3"/>
        </w:rPr>
        <w:t>数据治理的核心目标</w:t>
      </w:r>
    </w:p>
    <w:p>
      <w:pPr>
        <w:spacing w:line="14" w:lineRule="auto"/>
        <w:rPr>
          <w:rFonts w:ascii="Arial"/>
          <w:sz w:val="2"/>
        </w:rPr>
      </w:pPr>
      <w:r>
        <w:rPr>
          <w:rFonts w:ascii="Arial" w:hAnsi="Arial" w:eastAsia="Arial" w:cs="Arial"/>
          <w:sz w:val="2"/>
          <w:szCs w:val="2"/>
        </w:rPr>
        <w:br w:type="column"/>
      </w:r>
    </w:p>
    <w:p>
      <w:pPr>
        <w:pStyle w:val="BodyText"/>
        <w:ind w:firstLine="18"/>
        <w:spacing w:before="1" w:line="275" w:lineRule="auto"/>
        <w:jc w:val="both"/>
        <w:rPr/>
      </w:pPr>
      <w:r>
        <w:rPr>
          <w:color w:val="231F20"/>
          <w:spacing w:val="-4"/>
        </w:rPr>
        <w:t>的核心就是确定数据的资产地位，如图 </w:t>
      </w:r>
      <w:r>
        <w:rPr>
          <w:rFonts w:ascii="Times New Roman" w:hAnsi="Times New Roman" w:eastAsia="Times New Roman" w:cs="Times New Roman"/>
          <w:color w:val="231F20"/>
          <w:spacing w:val="-4"/>
        </w:rPr>
        <w:t>1.2 </w:t>
      </w:r>
      <w:r>
        <w:rPr>
          <w:color w:val="231F20"/>
          <w:spacing w:val="-4"/>
        </w:rPr>
        <w:t>所示。</w:t>
      </w:r>
      <w:r>
        <w:rPr>
          <w:color w:val="231F20"/>
          <w:spacing w:val="7"/>
        </w:rPr>
        <w:t xml:space="preserve"> </w:t>
      </w:r>
      <w:r>
        <w:rPr>
          <w:color w:val="231F20"/>
          <w:spacing w:val="2"/>
        </w:rPr>
        <w:t>为了提升数据的价值，需要系统地设计管理体制</w:t>
      </w:r>
      <w:r>
        <w:rPr>
          <w:color w:val="231F20"/>
        </w:rPr>
        <w:t xml:space="preserve">  </w:t>
      </w:r>
      <w:r>
        <w:rPr>
          <w:color w:val="231F20"/>
          <w:spacing w:val="2"/>
        </w:rPr>
        <w:t>机制，包括数据治理组织和数据管理活动；需要</w:t>
      </w:r>
      <w:r>
        <w:rPr>
          <w:color w:val="231F20"/>
          <w:spacing w:val="3"/>
        </w:rPr>
        <w:t xml:space="preserve">  </w:t>
      </w:r>
      <w:r>
        <w:rPr>
          <w:color w:val="231F20"/>
          <w:spacing w:val="2"/>
        </w:rPr>
        <w:t>最大限度地推动数据开放共享，没有数据的开放 </w:t>
      </w:r>
      <w:r>
        <w:rPr>
          <w:color w:val="231F20"/>
          <w:spacing w:val="2"/>
        </w:rPr>
        <w:t>共享就没有数字经济的发展。当然，这一切需要 </w:t>
      </w:r>
      <w:r>
        <w:rPr>
          <w:color w:val="231F20"/>
          <w:spacing w:val="2"/>
        </w:rPr>
        <w:t>有数据安全和隐私保护的底线作为保障，否则数 </w:t>
      </w:r>
      <w:r>
        <w:rPr>
          <w:color w:val="231F20"/>
          <w:spacing w:val="-3"/>
        </w:rPr>
        <w:t>据的价值就难以得到体现。</w:t>
      </w:r>
    </w:p>
    <w:p>
      <w:pPr>
        <w:pStyle w:val="BodyText"/>
        <w:ind w:left="1" w:right="52" w:firstLine="426"/>
        <w:spacing w:before="75" w:line="260" w:lineRule="auto"/>
        <w:jc w:val="both"/>
        <w:rPr/>
      </w:pPr>
      <w:r>
        <w:rPr>
          <w:color w:val="231F20"/>
          <w:spacing w:val="2"/>
        </w:rPr>
        <w:t>数据治理的目标也就是其所需要达成的目的</w:t>
      </w:r>
      <w:r>
        <w:rPr>
          <w:color w:val="231F20"/>
          <w:spacing w:val="15"/>
        </w:rPr>
        <w:t xml:space="preserve"> </w:t>
      </w:r>
      <w:r>
        <w:rPr>
          <w:color w:val="231F20"/>
          <w:spacing w:val="2"/>
        </w:rPr>
        <w:t>和结果。总体来说，就是以治理的力量，在数据</w:t>
      </w:r>
      <w:r>
        <w:rPr>
          <w:color w:val="231F20"/>
          <w:spacing w:val="5"/>
        </w:rPr>
        <w:t xml:space="preserve"> </w:t>
      </w:r>
      <w:r>
        <w:rPr>
          <w:color w:val="231F20"/>
          <w:spacing w:val="2"/>
        </w:rPr>
        <w:t>管理的基础上，进一步优化数据价值实现的关键</w:t>
      </w:r>
      <w:r>
        <w:rPr>
          <w:color w:val="231F20"/>
          <w:spacing w:val="15"/>
        </w:rPr>
        <w:t xml:space="preserve"> </w:t>
      </w:r>
      <w:r>
        <w:rPr>
          <w:color w:val="231F20"/>
          <w:spacing w:val="-6"/>
        </w:rPr>
        <w:t>和核心因素，确保实现高效能的数据功效的倍增。</w:t>
      </w:r>
    </w:p>
    <w:p>
      <w:pPr>
        <w:spacing w:line="260" w:lineRule="auto"/>
        <w:sectPr>
          <w:type w:val="continuous"/>
          <w:pgSz w:w="10489" w:h="14741"/>
          <w:pgMar w:top="482" w:right="1058" w:bottom="734" w:left="564" w:header="0" w:footer="552" w:gutter="0"/>
          <w:cols w:equalWidth="0" w:num="2">
            <w:col w:w="4219" w:space="100"/>
            <w:col w:w="4547" w:space="0"/>
          </w:cols>
        </w:sectPr>
        <w:rPr/>
      </w:pPr>
    </w:p>
    <w:p>
      <w:pPr>
        <w:pStyle w:val="BodyText"/>
        <w:ind w:left="577" w:right="73" w:firstLine="427"/>
        <w:spacing w:before="112" w:line="278" w:lineRule="auto"/>
        <w:rPr/>
      </w:pPr>
      <w:r>
        <w:rPr>
          <w:color w:val="231F20"/>
          <w:spacing w:val="11"/>
        </w:rPr>
        <w:t>从数据治理的现实出发，数据治理的目标应当具备以下</w:t>
      </w:r>
      <w:r>
        <w:rPr>
          <w:color w:val="231F20"/>
          <w:spacing w:val="-25"/>
        </w:rPr>
        <w:t xml:space="preserve"> </w:t>
      </w:r>
      <w:r>
        <w:rPr>
          <w:rFonts w:ascii="Times New Roman" w:hAnsi="Times New Roman" w:eastAsia="Times New Roman" w:cs="Times New Roman"/>
          <w:color w:val="231F20"/>
          <w:spacing w:val="11"/>
        </w:rPr>
        <w:t>4</w:t>
      </w:r>
      <w:r>
        <w:rPr>
          <w:rFonts w:ascii="Times New Roman" w:hAnsi="Times New Roman" w:eastAsia="Times New Roman" w:cs="Times New Roman"/>
          <w:color w:val="231F20"/>
          <w:spacing w:val="17"/>
          <w:w w:val="101"/>
        </w:rPr>
        <w:t xml:space="preserve"> </w:t>
      </w:r>
      <w:r>
        <w:rPr>
          <w:color w:val="231F20"/>
          <w:spacing w:val="11"/>
        </w:rPr>
        <w:t>方面的特</w:t>
      </w:r>
      <w:r>
        <w:rPr>
          <w:color w:val="231F20"/>
          <w:spacing w:val="10"/>
        </w:rPr>
        <w:t>性：合法合规</w:t>
      </w:r>
      <w:r>
        <w:rPr>
          <w:color w:val="231F20"/>
        </w:rPr>
        <w:t xml:space="preserve"> </w:t>
      </w:r>
      <w:r>
        <w:rPr>
          <w:color w:val="231F20"/>
          <w:spacing w:val="12"/>
        </w:rPr>
        <w:t>性、科学可行性、高度契合性、动态适应性。合法合</w:t>
      </w:r>
      <w:r>
        <w:rPr>
          <w:color w:val="231F20"/>
          <w:spacing w:val="11"/>
        </w:rPr>
        <w:t>规性，即数据治理的目的和结果</w:t>
      </w:r>
      <w:r>
        <w:rPr>
          <w:color w:val="231F20"/>
        </w:rPr>
        <w:t xml:space="preserve"> </w:t>
      </w:r>
      <w:r>
        <w:rPr>
          <w:color w:val="231F20"/>
          <w:spacing w:val="12"/>
        </w:rPr>
        <w:t>都必须遵守国家政策和法律法规，与党和国家的根本</w:t>
      </w:r>
      <w:r>
        <w:rPr>
          <w:color w:val="231F20"/>
          <w:spacing w:val="11"/>
        </w:rPr>
        <w:t>意志和公共利益永远保持高度契</w:t>
      </w:r>
      <w:r>
        <w:rPr>
          <w:color w:val="231F20"/>
        </w:rPr>
        <w:t xml:space="preserve"> </w:t>
      </w:r>
      <w:r>
        <w:rPr>
          <w:color w:val="231F20"/>
          <w:spacing w:val="11"/>
        </w:rPr>
        <w:t>合；科学可行性是指数据治理的目的和结果必须是符合客观规律的，是可以被信赖和</w:t>
      </w:r>
      <w:r>
        <w:rPr>
          <w:color w:val="231F20"/>
          <w:spacing w:val="18"/>
        </w:rPr>
        <w:t xml:space="preserve"> </w:t>
      </w:r>
      <w:r>
        <w:rPr>
          <w:color w:val="231F20"/>
          <w:spacing w:val="12"/>
        </w:rPr>
        <w:t>依靠的，是科学合理、经过努力就能实现的；高</w:t>
      </w:r>
      <w:r>
        <w:rPr>
          <w:color w:val="231F20"/>
          <w:spacing w:val="11"/>
        </w:rPr>
        <w:t>度契合性，即数据治理的目的和结果</w:t>
      </w:r>
      <w:r>
        <w:rPr>
          <w:color w:val="231F20"/>
        </w:rPr>
        <w:t xml:space="preserve"> </w:t>
      </w:r>
      <w:r>
        <w:rPr>
          <w:color w:val="231F20"/>
          <w:spacing w:val="6"/>
        </w:rPr>
        <w:t>必须与国家经济社会发展的要求保持高水平的匹配和适合，特别是要</w:t>
      </w:r>
      <w:r>
        <w:rPr>
          <w:color w:val="231F20"/>
          <w:spacing w:val="5"/>
        </w:rPr>
        <w:t>与国家经济社会发</w:t>
      </w:r>
      <w:r>
        <w:rPr>
          <w:color w:val="231F20"/>
        </w:rPr>
        <w:t xml:space="preserve"> </w:t>
      </w:r>
      <w:r>
        <w:rPr>
          <w:color w:val="231F20"/>
          <w:spacing w:val="6"/>
        </w:rPr>
        <w:t>展资源结构优化的客观要求保持一致；动态适应性表明数据治理的目的和结果不是一成</w:t>
      </w:r>
      <w:r>
        <w:rPr>
          <w:color w:val="231F20"/>
          <w:spacing w:val="1"/>
        </w:rPr>
        <w:t xml:space="preserve"> </w:t>
      </w:r>
      <w:r>
        <w:rPr>
          <w:color w:val="231F20"/>
          <w:spacing w:val="6"/>
        </w:rPr>
        <w:t>不变的，需要根据不断变化的经济社会发展的实际需要和要求，不断进行动态的适应性</w:t>
      </w:r>
      <w:r>
        <w:rPr>
          <w:color w:val="231F20"/>
          <w:spacing w:val="5"/>
        </w:rPr>
        <w:t xml:space="preserve"> </w:t>
      </w:r>
      <w:r>
        <w:rPr>
          <w:color w:val="231F20"/>
          <w:spacing w:val="-7"/>
        </w:rPr>
        <w:t>调整。</w:t>
      </w:r>
    </w:p>
    <w:p>
      <w:pPr>
        <w:pStyle w:val="BodyText"/>
        <w:ind w:left="577" w:right="73" w:firstLine="428"/>
        <w:spacing w:before="73" w:line="274" w:lineRule="auto"/>
        <w:rPr/>
      </w:pPr>
      <w:r>
        <w:rPr>
          <w:color w:val="231F20"/>
          <w:spacing w:val="6"/>
        </w:rPr>
        <w:t>综合上述</w:t>
      </w:r>
      <w:r>
        <w:rPr>
          <w:color w:val="231F20"/>
          <w:spacing w:val="-45"/>
        </w:rPr>
        <w:t xml:space="preserve"> </w:t>
      </w:r>
      <w:r>
        <w:rPr>
          <w:rFonts w:ascii="Times New Roman" w:hAnsi="Times New Roman" w:eastAsia="Times New Roman" w:cs="Times New Roman"/>
          <w:color w:val="231F20"/>
          <w:spacing w:val="6"/>
        </w:rPr>
        <w:t>4 </w:t>
      </w:r>
      <w:r>
        <w:rPr>
          <w:color w:val="231F20"/>
          <w:spacing w:val="6"/>
        </w:rPr>
        <w:t>个特性，可以提炼出数据治理的目标，即根据国家经济社会</w:t>
      </w:r>
      <w:r>
        <w:rPr>
          <w:color w:val="231F20"/>
          <w:spacing w:val="5"/>
        </w:rPr>
        <w:t>发展资源结</w:t>
      </w:r>
      <w:r>
        <w:rPr>
          <w:color w:val="231F20"/>
        </w:rPr>
        <w:t xml:space="preserve"> </w:t>
      </w:r>
      <w:r>
        <w:rPr>
          <w:color w:val="231F20"/>
          <w:spacing w:val="6"/>
        </w:rPr>
        <w:t>构调整的需求，遵循数据价值实现的规律，构建有利于数据开发利用与管理的体制机制 </w:t>
      </w:r>
      <w:r>
        <w:rPr>
          <w:color w:val="231F20"/>
          <w:spacing w:val="6"/>
        </w:rPr>
        <w:t>和环境氛围，强化监督控制和公共服务，强化社会参与和深度合作</w:t>
      </w:r>
      <w:r>
        <w:rPr>
          <w:color w:val="231F20"/>
          <w:spacing w:val="5"/>
        </w:rPr>
        <w:t>，促进和保障数据产</w:t>
      </w:r>
      <w:r>
        <w:rPr>
          <w:color w:val="231F20"/>
        </w:rPr>
        <w:t xml:space="preserve"> </w:t>
      </w:r>
      <w:r>
        <w:rPr>
          <w:color w:val="231F20"/>
          <w:spacing w:val="6"/>
        </w:rPr>
        <w:t>业健康、持续发展，切实维护公民个人和社会组织的合法权益，确保实现数</w:t>
      </w:r>
      <w:r>
        <w:rPr>
          <w:color w:val="231F20"/>
          <w:spacing w:val="5"/>
        </w:rPr>
        <w:t>据资源功效</w:t>
      </w:r>
      <w:r>
        <w:rPr>
          <w:color w:val="231F20"/>
        </w:rPr>
        <w:t xml:space="preserve"> </w:t>
      </w:r>
      <w:r>
        <w:rPr>
          <w:color w:val="231F20"/>
          <w:spacing w:val="11"/>
        </w:rPr>
        <w:t>的倍增，全面支持经济社会的可持续发展。这一目标的具体内涵和要求同样包含</w:t>
      </w:r>
      <w:r>
        <w:rPr>
          <w:color w:val="231F20"/>
          <w:spacing w:val="-29"/>
        </w:rPr>
        <w:t xml:space="preserve"> </w:t>
      </w:r>
      <w:r>
        <w:rPr>
          <w:rFonts w:ascii="Times New Roman" w:hAnsi="Times New Roman" w:eastAsia="Times New Roman" w:cs="Times New Roman"/>
          <w:color w:val="231F20"/>
          <w:spacing w:val="11"/>
        </w:rPr>
        <w:t>4 </w:t>
      </w:r>
      <w:r>
        <w:rPr>
          <w:color w:val="231F20"/>
          <w:spacing w:val="11"/>
        </w:rPr>
        <w:t>个</w:t>
      </w:r>
      <w:r>
        <w:rPr>
          <w:color w:val="231F20"/>
        </w:rPr>
        <w:t xml:space="preserve"> </w:t>
      </w:r>
      <w:r>
        <w:rPr>
          <w:color w:val="231F20"/>
          <w:spacing w:val="-11"/>
        </w:rPr>
        <w:t>方面：</w:t>
      </w:r>
    </w:p>
    <w:p>
      <w:pPr>
        <w:pStyle w:val="BodyText"/>
        <w:ind w:left="577" w:right="13" w:firstLine="326"/>
        <w:spacing w:before="71" w:line="264" w:lineRule="auto"/>
        <w:rPr/>
      </w:pPr>
      <w:r>
        <w:rPr>
          <w:color w:val="231F20"/>
          <w:spacing w:val="8"/>
        </w:rPr>
        <w:t>（</w:t>
      </w:r>
      <w:r>
        <w:rPr>
          <w:rFonts w:ascii="Times New Roman" w:hAnsi="Times New Roman" w:eastAsia="Times New Roman" w:cs="Times New Roman"/>
          <w:color w:val="231F20"/>
          <w:spacing w:val="8"/>
        </w:rPr>
        <w:t>1</w:t>
      </w:r>
      <w:r>
        <w:rPr>
          <w:color w:val="231F20"/>
          <w:spacing w:val="8"/>
        </w:rPr>
        <w:t>）制定数据治理目标的基本依据是国家经济社会</w:t>
      </w:r>
      <w:r>
        <w:rPr>
          <w:color w:val="231F20"/>
          <w:spacing w:val="7"/>
        </w:rPr>
        <w:t>发展资源结构调整的客观需求，</w:t>
      </w:r>
      <w:r>
        <w:rPr>
          <w:color w:val="231F20"/>
        </w:rPr>
        <w:t xml:space="preserve"> </w:t>
      </w:r>
      <w:r>
        <w:rPr>
          <w:color w:val="231F20"/>
          <w:spacing w:val="12"/>
        </w:rPr>
        <w:t>对数据实施治理的目的就是满足这种关乎国家经济社会发展全局和根本的客观需要和</w:t>
      </w:r>
      <w:r>
        <w:rPr>
          <w:color w:val="231F20"/>
        </w:rPr>
        <w:t xml:space="preserve"> </w:t>
      </w:r>
      <w:r>
        <w:rPr>
          <w:color w:val="231F20"/>
          <w:spacing w:val="-7"/>
        </w:rPr>
        <w:t>要求。</w:t>
      </w:r>
    </w:p>
    <w:p>
      <w:pPr>
        <w:pStyle w:val="BodyText"/>
        <w:ind w:left="581" w:right="80" w:firstLine="322"/>
        <w:spacing w:before="71" w:line="264" w:lineRule="auto"/>
        <w:rPr/>
      </w:pPr>
      <w:r>
        <w:rPr>
          <w:color w:val="231F20"/>
        </w:rPr>
        <w:t>（</w:t>
      </w:r>
      <w:r>
        <w:rPr>
          <w:rFonts w:ascii="Times New Roman" w:hAnsi="Times New Roman" w:eastAsia="Times New Roman" w:cs="Times New Roman"/>
          <w:color w:val="231F20"/>
        </w:rPr>
        <w:t>2</w:t>
      </w:r>
      <w:r>
        <w:rPr>
          <w:color w:val="231F20"/>
        </w:rPr>
        <w:t>）对数据进行治理的结果就是使数据资源得到有效的开发、利用和管理，数据产业</w:t>
      </w:r>
      <w:r>
        <w:rPr>
          <w:color w:val="231F20"/>
          <w:spacing w:val="5"/>
        </w:rPr>
        <w:t xml:space="preserve"> </w:t>
      </w:r>
      <w:r>
        <w:rPr>
          <w:color w:val="231F20"/>
        </w:rPr>
        <w:t>获得健康、持续发展，公民和各种社会组织的合法权益得到切实维护，确保实现数据资源</w:t>
      </w:r>
      <w:r>
        <w:rPr>
          <w:color w:val="231F20"/>
          <w:spacing w:val="7"/>
        </w:rPr>
        <w:t xml:space="preserve"> </w:t>
      </w:r>
      <w:r>
        <w:rPr>
          <w:color w:val="231F20"/>
          <w:spacing w:val="-6"/>
        </w:rPr>
        <w:t>功效的倍增。</w:t>
      </w:r>
    </w:p>
    <w:p>
      <w:pPr>
        <w:pStyle w:val="BodyText"/>
        <w:ind w:left="582" w:right="90" w:firstLine="321"/>
        <w:spacing w:before="73" w:line="252" w:lineRule="auto"/>
        <w:rPr/>
      </w:pPr>
      <w:r>
        <w:rPr>
          <w:color w:val="231F20"/>
        </w:rPr>
        <w:t>（</w:t>
      </w:r>
      <w:r>
        <w:rPr>
          <w:rFonts w:ascii="Times New Roman" w:hAnsi="Times New Roman" w:eastAsia="Times New Roman" w:cs="Times New Roman"/>
          <w:color w:val="231F20"/>
        </w:rPr>
        <w:t>3</w:t>
      </w:r>
      <w:r>
        <w:rPr>
          <w:color w:val="231F20"/>
        </w:rPr>
        <w:t>）对数据实施治理的客观依据是数据资源价值实现的规律，这是数据开</w:t>
      </w:r>
      <w:r>
        <w:rPr>
          <w:color w:val="231F20"/>
          <w:spacing w:val="-1"/>
        </w:rPr>
        <w:t>发、利用和</w:t>
      </w:r>
      <w:r>
        <w:rPr>
          <w:color w:val="231F20"/>
        </w:rPr>
        <w:t xml:space="preserve"> </w:t>
      </w:r>
      <w:r>
        <w:rPr>
          <w:color w:val="231F20"/>
          <w:spacing w:val="-2"/>
        </w:rPr>
        <w:t>管理能够真正纳入科学轨道、取得实实在在的效力和功用的保障。</w:t>
      </w:r>
    </w:p>
    <w:p>
      <w:pPr>
        <w:pStyle w:val="BodyText"/>
        <w:ind w:left="578" w:right="82" w:firstLine="325"/>
        <w:spacing w:before="74" w:line="235" w:lineRule="auto"/>
        <w:rPr/>
      </w:pPr>
      <w:r>
        <w:rPr>
          <w:color w:val="231F20"/>
        </w:rPr>
        <w:t>（</w:t>
      </w:r>
      <w:r>
        <w:rPr>
          <w:rFonts w:ascii="Times New Roman" w:hAnsi="Times New Roman" w:eastAsia="Times New Roman" w:cs="Times New Roman"/>
          <w:color w:val="231F20"/>
        </w:rPr>
        <w:t>4</w:t>
      </w:r>
      <w:r>
        <w:rPr>
          <w:color w:val="231F20"/>
        </w:rPr>
        <w:t>）实现数据治理目标的基本途径是构建有利于数据资源开发、利用与管理的体制机</w:t>
      </w:r>
      <w:r>
        <w:rPr>
          <w:color w:val="231F20"/>
          <w:spacing w:val="3"/>
        </w:rPr>
        <w:t xml:space="preserve"> </w:t>
      </w:r>
      <w:r>
        <w:rPr>
          <w:color w:val="231F20"/>
          <w:spacing w:val="-1"/>
        </w:rPr>
        <w:t>制和社会环境，强化监督控制和公共服务，强化广泛的社会参与及</w:t>
      </w:r>
      <w:r>
        <w:rPr>
          <w:color w:val="231F20"/>
          <w:spacing w:val="-2"/>
        </w:rPr>
        <w:t>深度合作。</w:t>
      </w:r>
    </w:p>
    <w:p>
      <w:pPr>
        <w:spacing w:line="235" w:lineRule="auto"/>
        <w:sectPr>
          <w:type w:val="continuous"/>
          <w:pgSz w:w="10489" w:h="14741"/>
          <w:pgMar w:top="482" w:right="1058" w:bottom="734" w:left="564" w:header="0" w:footer="552" w:gutter="0"/>
          <w:cols w:equalWidth="0" w:num="1">
            <w:col w:w="8866" w:space="0"/>
          </w:cols>
        </w:sectPr>
        <w:rPr/>
      </w:pPr>
    </w:p>
    <w:p>
      <w:pPr>
        <w:spacing w:before="41" w:line="204" w:lineRule="auto"/>
        <w:jc w:val="right"/>
        <w:rPr>
          <w:sz w:val="18"/>
          <w:szCs w:val="18"/>
        </w:rPr>
      </w:pPr>
      <w:r>
        <w:rPr>
          <w:rFonts w:ascii="Microsoft YaHei" w:hAnsi="Microsoft YaHei" w:eastAsia="Microsoft YaHei" w:cs="Microsoft YaHei"/>
          <w:sz w:val="18"/>
          <w:szCs w:val="18"/>
          <w:color w:val="4B4C4D"/>
          <w:spacing w:val="-2"/>
        </w:rPr>
        <w:t>第 </w:t>
      </w:r>
      <w:r>
        <w:rPr>
          <w:rFonts w:ascii="Arial" w:hAnsi="Arial" w:eastAsia="Arial" w:cs="Arial"/>
          <w:sz w:val="18"/>
          <w:szCs w:val="18"/>
          <w:b/>
          <w:bCs/>
          <w:color w:val="4B4C4D"/>
          <w:spacing w:val="-2"/>
        </w:rPr>
        <w:t>1 </w:t>
      </w:r>
      <w:r>
        <w:rPr>
          <w:rFonts w:ascii="Microsoft YaHei" w:hAnsi="Microsoft YaHei" w:eastAsia="Microsoft YaHei" w:cs="Microsoft YaHei"/>
          <w:sz w:val="18"/>
          <w:szCs w:val="18"/>
          <w:color w:val="4B4C4D"/>
          <w:spacing w:val="-2"/>
        </w:rPr>
        <w:t>章</w:t>
      </w:r>
      <w:r>
        <w:rPr>
          <w:rFonts w:ascii="Microsoft YaHei" w:hAnsi="Microsoft YaHei" w:eastAsia="Microsoft YaHei" w:cs="Microsoft YaHei"/>
          <w:sz w:val="18"/>
          <w:szCs w:val="18"/>
          <w:color w:val="4B4C4D"/>
          <w:spacing w:val="9"/>
        </w:rPr>
        <w:t xml:space="preserve">   </w:t>
      </w:r>
      <w:r>
        <w:rPr>
          <w:rFonts w:ascii="Microsoft YaHei" w:hAnsi="Microsoft YaHei" w:eastAsia="Microsoft YaHei" w:cs="Microsoft YaHei"/>
          <w:sz w:val="18"/>
          <w:szCs w:val="18"/>
          <w:color w:val="4B4C4D"/>
          <w:spacing w:val="-2"/>
        </w:rPr>
        <w:t>数据与数据治理  </w:t>
      </w:r>
      <w:r>
        <w:rPr>
          <w:sz w:val="18"/>
          <w:szCs w:val="18"/>
          <w:position w:val="-2"/>
        </w:rPr>
        <w:drawing>
          <wp:inline distT="0" distB="0" distL="0" distR="0">
            <wp:extent cx="339153" cy="105117"/>
            <wp:effectExtent l="0" t="0" r="0" b="0"/>
            <wp:docPr id="84" name="IM 84"/>
            <wp:cNvGraphicFramePr/>
            <a:graphic>
              <a:graphicData uri="http://schemas.openxmlformats.org/drawingml/2006/picture">
                <pic:pic>
                  <pic:nvPicPr>
                    <pic:cNvPr id="84" name="IM 84"/>
                    <pic:cNvPicPr/>
                  </pic:nvPicPr>
                  <pic:blipFill>
                    <a:blip r:embed="rId54"/>
                    <a:stretch>
                      <a:fillRect/>
                    </a:stretch>
                  </pic:blipFill>
                  <pic:spPr>
                    <a:xfrm rot="0">
                      <a:off x="0" y="0"/>
                      <a:ext cx="339153" cy="105117"/>
                    </a:xfrm>
                    <a:prstGeom prst="rect">
                      <a:avLst/>
                    </a:prstGeom>
                  </pic:spPr>
                </pic:pic>
              </a:graphicData>
            </a:graphic>
          </wp:inline>
        </w:drawing>
      </w:r>
    </w:p>
    <w:p>
      <w:pPr>
        <w:spacing w:line="306" w:lineRule="auto"/>
        <w:rPr>
          <w:rFonts w:ascii="Arial"/>
          <w:sz w:val="21"/>
        </w:rPr>
      </w:pPr>
      <w:r/>
    </w:p>
    <w:p>
      <w:pPr>
        <w:pStyle w:val="BodyText"/>
        <w:ind w:left="12" w:right="643" w:firstLine="415"/>
        <w:spacing w:before="68" w:line="252" w:lineRule="auto"/>
        <w:rPr/>
      </w:pPr>
      <w:r>
        <w:rPr>
          <w:color w:val="231F20"/>
        </w:rPr>
        <w:t>数据治理的基本价值取向是数据治理所依据的价值尺度，体现了治理的核心主张，反</w:t>
      </w:r>
      <w:r>
        <w:rPr>
          <w:color w:val="231F20"/>
          <w:spacing w:val="15"/>
        </w:rPr>
        <w:t xml:space="preserve"> </w:t>
      </w:r>
      <w:r>
        <w:rPr>
          <w:color w:val="231F20"/>
          <w:spacing w:val="6"/>
        </w:rPr>
        <w:t>映了治理主体的目标、动机、基本态度和决策</w:t>
      </w:r>
      <w:r>
        <w:rPr>
          <w:color w:val="231F20"/>
          <w:spacing w:val="5"/>
        </w:rPr>
        <w:t>意图。价值取向是治理内容中最重要的部</w:t>
      </w:r>
    </w:p>
    <w:p>
      <w:pPr>
        <w:pStyle w:val="BodyText"/>
        <w:ind w:left="326" w:right="1563" w:hanging="323"/>
        <w:spacing w:before="74" w:line="253" w:lineRule="auto"/>
        <w:rPr/>
      </w:pPr>
      <w:r>
        <w:rPr>
          <w:color w:val="231F20"/>
          <w:spacing w:val="-2"/>
        </w:rPr>
        <w:t>分，结合经济社会发展的现实情况，现阶段数据治理的基本价值取向应该包括：</w:t>
      </w:r>
      <w:r>
        <w:rPr>
          <w:color w:val="231F20"/>
          <w:spacing w:val="9"/>
        </w:rPr>
        <w:t xml:space="preserve"> </w:t>
      </w:r>
      <w:r>
        <w:rPr>
          <w:color w:val="231F20"/>
          <w:spacing w:val="-2"/>
        </w:rPr>
        <w:t>（</w:t>
      </w:r>
      <w:r>
        <w:rPr>
          <w:rFonts w:ascii="Times New Roman" w:hAnsi="Times New Roman" w:eastAsia="Times New Roman" w:cs="Times New Roman"/>
          <w:color w:val="231F20"/>
          <w:spacing w:val="-2"/>
        </w:rPr>
        <w:t>1</w:t>
      </w:r>
      <w:r>
        <w:rPr>
          <w:color w:val="231F20"/>
          <w:spacing w:val="-2"/>
        </w:rPr>
        <w:t>）数据治理的目的和结果具有多元性特征。</w:t>
      </w:r>
    </w:p>
    <w:p>
      <w:pPr>
        <w:pStyle w:val="BodyText"/>
        <w:ind w:left="326"/>
        <w:spacing w:before="72" w:line="220" w:lineRule="auto"/>
        <w:rPr/>
      </w:pPr>
      <w:r>
        <w:rPr>
          <w:color w:val="231F20"/>
          <w:spacing w:val="-2"/>
        </w:rPr>
        <w:t>（</w:t>
      </w:r>
      <w:r>
        <w:rPr>
          <w:rFonts w:ascii="Times New Roman" w:hAnsi="Times New Roman" w:eastAsia="Times New Roman" w:cs="Times New Roman"/>
          <w:color w:val="231F20"/>
          <w:spacing w:val="-2"/>
        </w:rPr>
        <w:t>2</w:t>
      </w:r>
      <w:r>
        <w:rPr>
          <w:color w:val="231F20"/>
          <w:spacing w:val="-2"/>
        </w:rPr>
        <w:t>）数据治理的重点依据治理层级的不同而有所区别。</w:t>
      </w:r>
    </w:p>
    <w:p>
      <w:pPr>
        <w:pStyle w:val="BodyText"/>
        <w:ind w:left="326"/>
        <w:spacing w:before="74" w:line="220" w:lineRule="auto"/>
        <w:rPr/>
      </w:pPr>
      <w:r>
        <w:rPr>
          <w:color w:val="231F20"/>
          <w:spacing w:val="-1"/>
        </w:rPr>
        <w:t>（</w:t>
      </w:r>
      <w:r>
        <w:rPr>
          <w:rFonts w:ascii="Times New Roman" w:hAnsi="Times New Roman" w:eastAsia="Times New Roman" w:cs="Times New Roman"/>
          <w:color w:val="231F20"/>
          <w:spacing w:val="-1"/>
        </w:rPr>
        <w:t>3</w:t>
      </w:r>
      <w:r>
        <w:rPr>
          <w:color w:val="231F20"/>
          <w:spacing w:val="-1"/>
        </w:rPr>
        <w:t>）数据治理需要强有力的科学组织，加强</w:t>
      </w:r>
      <w:r>
        <w:rPr>
          <w:color w:val="231F20"/>
          <w:spacing w:val="-2"/>
        </w:rPr>
        <w:t>对数据资源的规划和配置。</w:t>
      </w:r>
    </w:p>
    <w:p>
      <w:pPr>
        <w:pStyle w:val="BodyText"/>
        <w:ind w:left="326"/>
        <w:spacing w:before="74" w:line="220" w:lineRule="auto"/>
        <w:rPr/>
      </w:pPr>
      <w:r>
        <w:rPr>
          <w:color w:val="231F20"/>
          <w:spacing w:val="-2"/>
        </w:rPr>
        <w:t>（</w:t>
      </w:r>
      <w:r>
        <w:rPr>
          <w:rFonts w:ascii="Times New Roman" w:hAnsi="Times New Roman" w:eastAsia="Times New Roman" w:cs="Times New Roman"/>
          <w:color w:val="231F20"/>
          <w:spacing w:val="-2"/>
        </w:rPr>
        <w:t>4</w:t>
      </w:r>
      <w:r>
        <w:rPr>
          <w:color w:val="231F20"/>
          <w:spacing w:val="-2"/>
        </w:rPr>
        <w:t>）数据治理以优化的制度建设和强有力的制度实施为基础和特征。</w:t>
      </w:r>
    </w:p>
    <w:p>
      <w:pPr>
        <w:pStyle w:val="BodyText"/>
        <w:ind w:left="326"/>
        <w:spacing w:before="74" w:line="220" w:lineRule="auto"/>
        <w:rPr/>
      </w:pPr>
      <w:r>
        <w:rPr>
          <w:color w:val="231F20"/>
          <w:spacing w:val="-3"/>
        </w:rPr>
        <w:t>（</w:t>
      </w:r>
      <w:r>
        <w:rPr>
          <w:rFonts w:ascii="Times New Roman" w:hAnsi="Times New Roman" w:eastAsia="Times New Roman" w:cs="Times New Roman"/>
          <w:color w:val="231F20"/>
          <w:spacing w:val="-3"/>
        </w:rPr>
        <w:t>5</w:t>
      </w:r>
      <w:r>
        <w:rPr>
          <w:color w:val="231F20"/>
          <w:spacing w:val="-3"/>
        </w:rPr>
        <w:t>）大力推动和鼓励开发利用数据资源。</w:t>
      </w:r>
    </w:p>
    <w:p>
      <w:pPr>
        <w:pStyle w:val="BodyText"/>
        <w:ind w:left="326" w:right="1749"/>
        <w:spacing w:before="74" w:line="252" w:lineRule="auto"/>
        <w:rPr/>
      </w:pPr>
      <w:r>
        <w:rPr>
          <w:color w:val="231F20"/>
          <w:spacing w:val="-1"/>
        </w:rPr>
        <w:t>（</w:t>
      </w:r>
      <w:r>
        <w:rPr>
          <w:rFonts w:ascii="Times New Roman" w:hAnsi="Times New Roman" w:eastAsia="Times New Roman" w:cs="Times New Roman"/>
          <w:color w:val="231F20"/>
          <w:spacing w:val="-1"/>
        </w:rPr>
        <w:t>6</w:t>
      </w:r>
      <w:r>
        <w:rPr>
          <w:color w:val="231F20"/>
          <w:spacing w:val="-1"/>
        </w:rPr>
        <w:t>）有力维护国家数据主权，尊重和保护各种</w:t>
      </w:r>
      <w:r>
        <w:rPr>
          <w:color w:val="231F20"/>
          <w:spacing w:val="-2"/>
        </w:rPr>
        <w:t>主体合法的数据资源权利。</w:t>
      </w:r>
      <w:r>
        <w:rPr>
          <w:color w:val="231F20"/>
        </w:rPr>
        <w:t xml:space="preserve"> </w:t>
      </w:r>
      <w:r>
        <w:rPr>
          <w:color w:val="231F20"/>
          <w:spacing w:val="-2"/>
        </w:rPr>
        <w:t>（</w:t>
      </w:r>
      <w:r>
        <w:rPr>
          <w:rFonts w:ascii="Times New Roman" w:hAnsi="Times New Roman" w:eastAsia="Times New Roman" w:cs="Times New Roman"/>
          <w:color w:val="231F20"/>
          <w:spacing w:val="-2"/>
        </w:rPr>
        <w:t>7</w:t>
      </w:r>
      <w:r>
        <w:rPr>
          <w:color w:val="231F20"/>
          <w:spacing w:val="-2"/>
        </w:rPr>
        <w:t>）明确数据资源所有权的形式，依法处置与数据相关的权属体系。</w:t>
      </w:r>
    </w:p>
    <w:p>
      <w:pPr>
        <w:pStyle w:val="BodyText"/>
        <w:ind w:left="326"/>
        <w:spacing w:before="74" w:line="220" w:lineRule="auto"/>
        <w:rPr/>
      </w:pPr>
      <w:r>
        <w:rPr>
          <w:color w:val="231F20"/>
          <w:spacing w:val="-3"/>
        </w:rPr>
        <w:t>（</w:t>
      </w:r>
      <w:r>
        <w:rPr>
          <w:rFonts w:ascii="Times New Roman" w:hAnsi="Times New Roman" w:eastAsia="Times New Roman" w:cs="Times New Roman"/>
          <w:color w:val="231F20"/>
          <w:spacing w:val="-3"/>
        </w:rPr>
        <w:t>8</w:t>
      </w:r>
      <w:r>
        <w:rPr>
          <w:color w:val="231F20"/>
          <w:spacing w:val="-3"/>
        </w:rPr>
        <w:t>）明确规定不同所有权的行使规则。</w:t>
      </w:r>
    </w:p>
    <w:p>
      <w:pPr>
        <w:pStyle w:val="BodyText"/>
        <w:ind w:left="326"/>
        <w:spacing w:before="74" w:line="324" w:lineRule="exact"/>
        <w:rPr/>
      </w:pPr>
      <w:r>
        <w:rPr>
          <w:color w:val="231F20"/>
          <w:spacing w:val="-2"/>
          <w:position w:val="8"/>
        </w:rPr>
        <w:t>（</w:t>
      </w:r>
      <w:r>
        <w:rPr>
          <w:rFonts w:ascii="Times New Roman" w:hAnsi="Times New Roman" w:eastAsia="Times New Roman" w:cs="Times New Roman"/>
          <w:color w:val="231F20"/>
          <w:spacing w:val="-2"/>
          <w:position w:val="8"/>
        </w:rPr>
        <w:t>9</w:t>
      </w:r>
      <w:r>
        <w:rPr>
          <w:color w:val="231F20"/>
          <w:spacing w:val="-2"/>
          <w:position w:val="8"/>
        </w:rPr>
        <w:t>）加强包括数据隐私和数据安全在内的数据资源保护体系的建设。</w:t>
      </w:r>
    </w:p>
    <w:p>
      <w:pPr>
        <w:pStyle w:val="BodyText"/>
        <w:ind w:left="326"/>
        <w:spacing w:line="219" w:lineRule="auto"/>
        <w:rPr/>
      </w:pPr>
      <w:r>
        <w:rPr>
          <w:color w:val="231F20"/>
          <w:spacing w:val="-2"/>
        </w:rPr>
        <w:t>（</w:t>
      </w:r>
      <w:r>
        <w:rPr>
          <w:rFonts w:ascii="Times New Roman" w:hAnsi="Times New Roman" w:eastAsia="Times New Roman" w:cs="Times New Roman"/>
          <w:color w:val="231F20"/>
          <w:spacing w:val="-2"/>
        </w:rPr>
        <w:t>10</w:t>
      </w:r>
      <w:r>
        <w:rPr>
          <w:color w:val="231F20"/>
          <w:spacing w:val="-2"/>
        </w:rPr>
        <w:t>）加强数据资源的建设，大力促进和保障数据产业的发展。</w:t>
      </w:r>
    </w:p>
    <w:p>
      <w:pPr>
        <w:pStyle w:val="BodyText"/>
        <w:ind w:left="421"/>
        <w:spacing w:before="75" w:line="220" w:lineRule="auto"/>
        <w:rPr/>
      </w:pPr>
      <w:r>
        <w:pict>
          <v:shape id="_x0000_s70" style="position:absolute;margin-left:42.1765pt;margin-top:4.00848pt;mso-position-vertical-relative:text;mso-position-horizontal-relative:text;width:51.95pt;height:9.9pt;z-index:-251576320;" filled="false" strokecolor="#231F20" strokeweight="0.17pt" coordsize="1039,197" coordorigin="0,0" path="m108,191l108,177l164,177l164,194l175,187c175,175,174,158,174,137l181,132l169,121l163,128l141,128l141,96l192,96l178,82l169,91l141,91l141,73l148,68l130,60c131,70,131,80,131,91l93,91c94,77,95,66,95,55l164,55l164,65l175,60c175,53,174,41,174,24l181,20l169,9l163,16l96,16l83,9c84,20,84,39,84,66c83,92,80,115,74,135c68,155,58,173,46,189l49,192c74,166,88,134,92,96l131,96l131,128l108,128l96,122c97,132,97,144,97,157c97,171,97,184,96,196l108,191xm164,50l95,50l95,21l164,21l164,50xm164,172l108,172l108,133l164,133l164,172xm49,57l81,57l68,43l58,52l49,52l49,20l55,14l36,4c37,14,37,30,37,52l2,52l9,59l18,57l37,57l37,99c16,109,4,115,1,115l13,130c14,127,22,120,37,109l37,167c37,171,36,173,33,173c30,173,22,172,10,170l10,173c25,179,32,185,31,191c42,186,48,179,49,169l49,103l77,82l76,78l49,94l49,57xm927,43c933,41,939,41,946,41l959,41l959,75l908,75l916,82c922,81,928,80,936,80l1035,80l1020,64l1008,75l970,75l970,41l1018,41l1004,26l993,36l970,36l970,14l976,9l958,1c958,10,959,21,959,36l919,36l927,43xm948,176c966,180,975,186,976,194c989,190,996,182,995,169l995,115l1036,115l1022,100l1011,110l995,110l995,96l1002,91l983,82c984,88,984,97,984,110l912,110l919,118c925,116,932,115,939,115l984,115l984,167c984,171,983,173,980,174c977,175,966,174,948,173l948,176xm926,125c932,135,937,145,939,154c941,164,944,165,949,159c954,153,954,147,949,141c945,136,938,130,928,123l926,125xm895,191c895,181,895,156,895,114l926,96l924,94l895,106l895,67l928,67l914,52l904,62l895,62l895,18l901,12l882,3c883,11,883,31,883,62l861,62c863,57,864,52,866,46c867,41,870,37,873,35l855,28c855,35,854,45,852,58c850,71,846,84,842,98l844,100c850,90,856,79,860,67l883,67l883,112c862,121,849,126,844,127l854,142l859,135c867,130,875,125,883,121c883,160,883,185,882,196l895,191xe">
            <v:stroke joinstyle="miter" miterlimit="4"/>
          </v:shape>
        </w:pict>
      </w:r>
      <w:r>
        <w:rPr>
          <w:rFonts w:ascii="Times New Roman" w:hAnsi="Times New Roman" w:eastAsia="Times New Roman" w:cs="Times New Roman"/>
          <w:color w:val="231F20"/>
          <w:spacing w:val="1"/>
        </w:rPr>
        <w:t>4. </w:t>
      </w:r>
      <w:r>
        <w:rPr>
          <w:color w:val="231F20"/>
          <w:spacing w:val="1"/>
        </w:rPr>
        <w:t>数据治理的特点</w:t>
      </w:r>
    </w:p>
    <w:p>
      <w:pPr>
        <w:pStyle w:val="BodyText"/>
        <w:ind w:left="427"/>
        <w:spacing w:before="74" w:line="220" w:lineRule="auto"/>
        <w:rPr/>
      </w:pPr>
      <w:r>
        <w:rPr>
          <w:color w:val="231F20"/>
          <w:spacing w:val="-4"/>
        </w:rPr>
        <w:t>数据治理具有以下特点。</w:t>
      </w:r>
    </w:p>
    <w:p>
      <w:pPr>
        <w:pStyle w:val="BodyText"/>
        <w:ind w:right="587" w:firstLine="326"/>
        <w:spacing w:before="79" w:line="279" w:lineRule="auto"/>
        <w:rPr/>
      </w:pPr>
      <w:r>
        <w:rPr>
          <w:color w:val="231F20"/>
          <w:spacing w:val="5"/>
        </w:rPr>
        <w:t>（</w:t>
      </w:r>
      <w:r>
        <w:rPr>
          <w:rFonts w:ascii="Times New Roman" w:hAnsi="Times New Roman" w:eastAsia="Times New Roman" w:cs="Times New Roman"/>
          <w:color w:val="231F20"/>
          <w:spacing w:val="5"/>
        </w:rPr>
        <w:t>1</w:t>
      </w:r>
      <w:r>
        <w:rPr>
          <w:color w:val="231F20"/>
          <w:spacing w:val="5"/>
        </w:rPr>
        <w:t>）以人和数据为中心，强调满足多元主体的价值追求和利益诉求。从数据治理的 </w:t>
      </w:r>
      <w:r>
        <w:rPr>
          <w:color w:val="231F20"/>
          <w:spacing w:val="12"/>
        </w:rPr>
        <w:t>定义可以得出，数据治理要实现数据在全生命周期过程中</w:t>
      </w:r>
      <w:r>
        <w:rPr>
          <w:color w:val="231F20"/>
          <w:spacing w:val="11"/>
        </w:rPr>
        <w:t>安全、有效流通所执行的操</w:t>
      </w:r>
      <w:r>
        <w:rPr>
          <w:color w:val="231F20"/>
        </w:rPr>
        <w:t xml:space="preserve"> </w:t>
      </w:r>
      <w:r>
        <w:rPr>
          <w:color w:val="231F20"/>
          <w:spacing w:val="6"/>
        </w:rPr>
        <w:t>作。在这一过程中数据是操作的对象，人是操作的主体，而数据治理成果的获</w:t>
      </w:r>
      <w:r>
        <w:rPr>
          <w:color w:val="231F20"/>
          <w:spacing w:val="5"/>
        </w:rPr>
        <w:t>益者包括</w:t>
      </w:r>
      <w:r>
        <w:rPr>
          <w:color w:val="231F20"/>
        </w:rPr>
        <w:t xml:space="preserve"> </w:t>
      </w:r>
      <w:r>
        <w:rPr>
          <w:color w:val="231F20"/>
          <w:spacing w:val="6"/>
        </w:rPr>
        <w:t>国家、企业和个人。因此，构建数据治理的体系也要考</w:t>
      </w:r>
      <w:r>
        <w:rPr>
          <w:color w:val="231F20"/>
          <w:spacing w:val="5"/>
        </w:rPr>
        <w:t>虑这</w:t>
      </w:r>
      <w:r>
        <w:rPr>
          <w:color w:val="231F20"/>
          <w:spacing w:val="-40"/>
        </w:rPr>
        <w:t xml:space="preserve"> </w:t>
      </w:r>
      <w:r>
        <w:rPr>
          <w:rFonts w:ascii="Times New Roman" w:hAnsi="Times New Roman" w:eastAsia="Times New Roman" w:cs="Times New Roman"/>
          <w:color w:val="231F20"/>
          <w:spacing w:val="5"/>
        </w:rPr>
        <w:t>3 </w:t>
      </w:r>
      <w:r>
        <w:rPr>
          <w:color w:val="231F20"/>
          <w:spacing w:val="5"/>
        </w:rPr>
        <w:t>个层面。国家、企业和个</w:t>
      </w:r>
      <w:r>
        <w:rPr>
          <w:color w:val="231F20"/>
        </w:rPr>
        <w:t xml:space="preserve"> </w:t>
      </w:r>
      <w:r>
        <w:rPr>
          <w:color w:val="231F20"/>
          <w:spacing w:val="6"/>
        </w:rPr>
        <w:t>人所产生和使用的数据的形式不尽相同，因此要注重数据治理过程中满</w:t>
      </w:r>
      <w:r>
        <w:rPr>
          <w:color w:val="231F20"/>
          <w:spacing w:val="5"/>
        </w:rPr>
        <w:t>足多元主体的价</w:t>
      </w:r>
      <w:r>
        <w:rPr>
          <w:color w:val="231F20"/>
        </w:rPr>
        <w:t xml:space="preserve"> </w:t>
      </w:r>
      <w:r>
        <w:rPr>
          <w:color w:val="231F20"/>
          <w:spacing w:val="2"/>
        </w:rPr>
        <w:t>值追求。如在国家层面，通过制定“上位法”，明确数据的权属和合理使用数据的边界；</w:t>
      </w:r>
      <w:r>
        <w:rPr>
          <w:color w:val="231F20"/>
          <w:spacing w:val="1"/>
        </w:rPr>
        <w:t xml:space="preserve"> </w:t>
      </w:r>
      <w:r>
        <w:rPr>
          <w:color w:val="231F20"/>
          <w:spacing w:val="6"/>
        </w:rPr>
        <w:t>通过成立国家标准化管理委员会等多级机构，领导数据治理相关的标准工作；在司法领 </w:t>
      </w:r>
      <w:r>
        <w:rPr>
          <w:color w:val="231F20"/>
          <w:spacing w:val="6"/>
        </w:rPr>
        <w:t>域和政府数据开放两方面，也有不少应用实践的案例；通过科技部、国家自</w:t>
      </w:r>
      <w:r>
        <w:rPr>
          <w:color w:val="231F20"/>
          <w:spacing w:val="5"/>
        </w:rPr>
        <w:t>然科学基金</w:t>
      </w:r>
      <w:r>
        <w:rPr>
          <w:color w:val="231F20"/>
        </w:rPr>
        <w:t xml:space="preserve"> </w:t>
      </w:r>
      <w:r>
        <w:rPr>
          <w:color w:val="231F20"/>
          <w:spacing w:val="6"/>
        </w:rPr>
        <w:t>委员会等部门，组织与数据治理有关的科研项目，引导数据治理的支撑技术研</w:t>
      </w:r>
      <w:r>
        <w:rPr>
          <w:color w:val="231F20"/>
          <w:spacing w:val="5"/>
        </w:rPr>
        <w:t>究。在企</w:t>
      </w:r>
      <w:r>
        <w:rPr>
          <w:color w:val="231F20"/>
        </w:rPr>
        <w:t xml:space="preserve"> </w:t>
      </w:r>
      <w:r>
        <w:rPr>
          <w:color w:val="231F20"/>
        </w:rPr>
        <w:t>业层面，要在遵守国家规范的基础上建立数据治理的专职机构，协调各业务部门并确保数</w:t>
      </w:r>
      <w:r>
        <w:rPr>
          <w:color w:val="231F20"/>
          <w:spacing w:val="12"/>
        </w:rPr>
        <w:t xml:space="preserve"> </w:t>
      </w:r>
      <w:r>
        <w:rPr>
          <w:color w:val="231F20"/>
        </w:rPr>
        <w:t>据治理在整个组织内得到支持。在个人层面，要注重个人隐私的保护以及数据</w:t>
      </w:r>
      <w:r>
        <w:rPr>
          <w:color w:val="231F20"/>
          <w:spacing w:val="-1"/>
        </w:rPr>
        <w:t>权属的界定 </w:t>
      </w:r>
      <w:r>
        <w:rPr>
          <w:color w:val="231F20"/>
          <w:spacing w:val="-7"/>
        </w:rPr>
        <w:t>等问题。</w:t>
      </w:r>
    </w:p>
    <w:p>
      <w:pPr>
        <w:pStyle w:val="BodyText"/>
        <w:ind w:right="651" w:firstLine="325"/>
        <w:spacing w:before="73" w:line="279" w:lineRule="auto"/>
        <w:rPr/>
      </w:pPr>
      <w:r>
        <w:rPr>
          <w:color w:val="231F20"/>
        </w:rPr>
        <w:t>（</w:t>
      </w:r>
      <w:r>
        <w:rPr>
          <w:rFonts w:ascii="Times New Roman" w:hAnsi="Times New Roman" w:eastAsia="Times New Roman" w:cs="Times New Roman"/>
          <w:color w:val="231F20"/>
        </w:rPr>
        <w:t>2</w:t>
      </w:r>
      <w:r>
        <w:rPr>
          <w:color w:val="231F20"/>
        </w:rPr>
        <w:t>）从数据安全和数据主权的高度出发，专注于数据的全生命周期安全。数据安</w:t>
      </w:r>
      <w:r>
        <w:rPr>
          <w:color w:val="231F20"/>
          <w:spacing w:val="-1"/>
        </w:rPr>
        <w:t>全治</w:t>
      </w:r>
      <w:r>
        <w:rPr>
          <w:color w:val="231F20"/>
        </w:rPr>
        <w:t xml:space="preserve"> </w:t>
      </w:r>
      <w:r>
        <w:rPr>
          <w:color w:val="231F20"/>
        </w:rPr>
        <w:t>理体系的建设要以数据全生命周期为核心，实现数据安全全方位治理。传统的数据安全监</w:t>
      </w:r>
      <w:r>
        <w:rPr>
          <w:color w:val="231F20"/>
          <w:spacing w:val="12"/>
        </w:rPr>
        <w:t xml:space="preserve"> </w:t>
      </w:r>
      <w:r>
        <w:rPr>
          <w:color w:val="231F20"/>
        </w:rPr>
        <w:t>管方法以系统为中心，但目前，数据的共享交换已经变成同一个部门、不同层级之间流动</w:t>
      </w:r>
      <w:r>
        <w:rPr>
          <w:color w:val="231F20"/>
          <w:spacing w:val="5"/>
        </w:rPr>
        <w:t xml:space="preserve"> </w:t>
      </w:r>
      <w:r>
        <w:rPr>
          <w:color w:val="231F20"/>
        </w:rPr>
        <w:t>的常态化过程，所以构建数据全生命周期的监管体系势在必行。数据安全治理体系框架通</w:t>
      </w:r>
      <w:r>
        <w:rPr>
          <w:color w:val="231F20"/>
          <w:spacing w:val="12"/>
        </w:rPr>
        <w:t xml:space="preserve"> </w:t>
      </w:r>
      <w:r>
        <w:rPr>
          <w:color w:val="231F20"/>
          <w:spacing w:val="6"/>
        </w:rPr>
        <w:t>过</w:t>
      </w:r>
      <w:r>
        <w:rPr>
          <w:color w:val="231F20"/>
          <w:spacing w:val="-43"/>
        </w:rPr>
        <w:t xml:space="preserve"> </w:t>
      </w:r>
      <w:r>
        <w:rPr>
          <w:rFonts w:ascii="Times New Roman" w:hAnsi="Times New Roman" w:eastAsia="Times New Roman" w:cs="Times New Roman"/>
          <w:color w:val="231F20"/>
          <w:spacing w:val="6"/>
        </w:rPr>
        <w:t>3 </w:t>
      </w:r>
      <w:r>
        <w:rPr>
          <w:color w:val="231F20"/>
          <w:spacing w:val="6"/>
        </w:rPr>
        <w:t>个维度构建而成，包括政策法规、技术</w:t>
      </w:r>
      <w:r>
        <w:rPr>
          <w:color w:val="231F20"/>
          <w:spacing w:val="5"/>
        </w:rPr>
        <w:t>层面和安全组织人员。数据安全治理体系框</w:t>
      </w:r>
      <w:r>
        <w:rPr>
          <w:color w:val="231F20"/>
        </w:rPr>
        <w:t xml:space="preserve"> </w:t>
      </w:r>
      <w:r>
        <w:rPr>
          <w:color w:val="231F20"/>
          <w:spacing w:val="6"/>
        </w:rPr>
        <w:t>架的建设应在符合政策法规及标准规范的同时，在技术上实现对数据的实时监</w:t>
      </w:r>
      <w:r>
        <w:rPr>
          <w:color w:val="231F20"/>
          <w:spacing w:val="5"/>
        </w:rPr>
        <w:t>管，并配</w:t>
      </w:r>
      <w:r>
        <w:rPr>
          <w:color w:val="231F20"/>
        </w:rPr>
        <w:t xml:space="preserve"> </w:t>
      </w:r>
      <w:r>
        <w:rPr>
          <w:color w:val="231F20"/>
          <w:spacing w:val="6"/>
        </w:rPr>
        <w:t>合对安全组织人员的规范培训。在整个体系中，核心监管技术体现在技术</w:t>
      </w:r>
      <w:r>
        <w:rPr>
          <w:color w:val="231F20"/>
          <w:spacing w:val="5"/>
        </w:rPr>
        <w:t>架构层面，包</w:t>
      </w:r>
      <w:r>
        <w:rPr>
          <w:color w:val="231F20"/>
        </w:rPr>
        <w:t xml:space="preserve"> </w:t>
      </w:r>
      <w:r>
        <w:rPr>
          <w:color w:val="231F20"/>
          <w:spacing w:val="12"/>
        </w:rPr>
        <w:t>括安全运营中心、数据中心以及安全基础资源。通过</w:t>
      </w:r>
      <w:r>
        <w:rPr>
          <w:color w:val="231F20"/>
          <w:spacing w:val="11"/>
        </w:rPr>
        <w:t>提供最基础的技术保障，使安全</w:t>
      </w:r>
      <w:r>
        <w:rPr>
          <w:color w:val="231F20"/>
        </w:rPr>
        <w:t xml:space="preserve"> </w:t>
      </w:r>
      <w:r>
        <w:rPr>
          <w:color w:val="231F20"/>
          <w:spacing w:val="6"/>
        </w:rPr>
        <w:t>运营中心对整个数据中心进行实时的响应控制。安全运营中心</w:t>
      </w:r>
      <w:r>
        <w:rPr>
          <w:color w:val="231F20"/>
          <w:spacing w:val="5"/>
        </w:rPr>
        <w:t>的作用集中体现在资产管</w:t>
      </w:r>
      <w:r>
        <w:rPr>
          <w:color w:val="231F20"/>
        </w:rPr>
        <w:t xml:space="preserve"> </w:t>
      </w:r>
      <w:r>
        <w:rPr>
          <w:color w:val="231F20"/>
          <w:spacing w:val="6"/>
        </w:rPr>
        <w:t>理、合规监管、实时监测、数据安全态势以及通报预警等方面。安全运</w:t>
      </w:r>
      <w:r>
        <w:rPr>
          <w:color w:val="231F20"/>
          <w:spacing w:val="5"/>
        </w:rPr>
        <w:t>营中心通过采集</w:t>
      </w:r>
      <w:r>
        <w:rPr>
          <w:color w:val="231F20"/>
        </w:rPr>
        <w:t xml:space="preserve"> </w:t>
      </w:r>
      <w:r>
        <w:rPr>
          <w:color w:val="231F20"/>
          <w:spacing w:val="6"/>
        </w:rPr>
        <w:t>数据中心数据，进行数据汇聚、分析以及治理从而实现对数据的实时管控</w:t>
      </w:r>
      <w:r>
        <w:rPr>
          <w:color w:val="231F20"/>
          <w:spacing w:val="5"/>
        </w:rPr>
        <w:t>。数据安全基</w:t>
      </w:r>
    </w:p>
    <w:p>
      <w:pPr>
        <w:spacing w:line="279" w:lineRule="auto"/>
        <w:sectPr>
          <w:footerReference w:type="default" r:id="rId53"/>
          <w:pgSz w:w="10489" w:h="14741"/>
          <w:pgMar w:top="679" w:right="489" w:bottom="734" w:left="1141" w:header="0" w:footer="552" w:gutter="0"/>
        </w:sectPr>
        <w:rPr/>
      </w:pPr>
    </w:p>
    <w:p>
      <w:pPr>
        <w:spacing w:before="78" w:line="215" w:lineRule="auto"/>
        <w:rPr>
          <w:rFonts w:ascii="Microsoft YaHei" w:hAnsi="Microsoft YaHei" w:eastAsia="Microsoft YaHei" w:cs="Microsoft YaHei"/>
          <w:sz w:val="18"/>
          <w:szCs w:val="18"/>
        </w:rPr>
      </w:pPr>
      <w:r>
        <w:drawing>
          <wp:anchor distT="0" distB="0" distL="0" distR="0" simplePos="0" relativeHeight="251750400" behindDoc="1" locked="0" layoutInCell="1" allowOverlap="1">
            <wp:simplePos x="0" y="0"/>
            <wp:positionH relativeFrom="column">
              <wp:posOffset>108299</wp:posOffset>
            </wp:positionH>
            <wp:positionV relativeFrom="paragraph">
              <wp:posOffset>79371</wp:posOffset>
            </wp:positionV>
            <wp:extent cx="83329" cy="46985"/>
            <wp:effectExtent l="0" t="0" r="0" b="0"/>
            <wp:wrapNone/>
            <wp:docPr id="86" name="IM 86"/>
            <wp:cNvGraphicFramePr/>
            <a:graphic>
              <a:graphicData uri="http://schemas.openxmlformats.org/drawingml/2006/picture">
                <pic:pic>
                  <pic:nvPicPr>
                    <pic:cNvPr id="86" name="IM 86"/>
                    <pic:cNvPicPr/>
                  </pic:nvPicPr>
                  <pic:blipFill>
                    <a:blip r:embed="rId56"/>
                    <a:stretch>
                      <a:fillRect/>
                    </a:stretch>
                  </pic:blipFill>
                  <pic:spPr>
                    <a:xfrm rot="0">
                      <a:off x="0" y="0"/>
                      <a:ext cx="83329" cy="46985"/>
                    </a:xfrm>
                    <a:prstGeom prst="rect">
                      <a:avLst/>
                    </a:prstGeom>
                  </pic:spPr>
                </pic:pic>
              </a:graphicData>
            </a:graphic>
          </wp:anchor>
        </w:drawing>
      </w:r>
      <w:r>
        <w:drawing>
          <wp:anchor distT="0" distB="0" distL="0" distR="0" simplePos="0" relativeHeight="251749376" behindDoc="1" locked="0" layoutInCell="1" allowOverlap="1">
            <wp:simplePos x="0" y="0"/>
            <wp:positionH relativeFrom="column">
              <wp:posOffset>38548</wp:posOffset>
            </wp:positionH>
            <wp:positionV relativeFrom="paragraph">
              <wp:posOffset>120488</wp:posOffset>
            </wp:positionV>
            <wp:extent cx="153080" cy="75618"/>
            <wp:effectExtent l="0" t="0" r="0" b="0"/>
            <wp:wrapNone/>
            <wp:docPr id="88" name="IM 88"/>
            <wp:cNvGraphicFramePr/>
            <a:graphic>
              <a:graphicData uri="http://schemas.openxmlformats.org/drawingml/2006/picture">
                <pic:pic>
                  <pic:nvPicPr>
                    <pic:cNvPr id="88" name="IM 88"/>
                    <pic:cNvPicPr/>
                  </pic:nvPicPr>
                  <pic:blipFill>
                    <a:blip r:embed="rId57"/>
                    <a:stretch>
                      <a:fillRect/>
                    </a:stretch>
                  </pic:blipFill>
                  <pic:spPr>
                    <a:xfrm rot="0">
                      <a:off x="0" y="0"/>
                      <a:ext cx="153080" cy="75618"/>
                    </a:xfrm>
                    <a:prstGeom prst="rect">
                      <a:avLst/>
                    </a:prstGeom>
                  </pic:spPr>
                </pic:pic>
              </a:graphicData>
            </a:graphic>
          </wp:anchor>
        </w:drawing>
      </w:r>
      <w:r>
        <w:rPr>
          <w:rFonts w:ascii="Microsoft YaHei" w:hAnsi="Microsoft YaHei" w:eastAsia="Microsoft YaHei" w:cs="Microsoft YaHei"/>
          <w:sz w:val="18"/>
          <w:szCs w:val="18"/>
          <w:color w:val="D9D9D9"/>
          <w:position w:val="-5"/>
        </w:rPr>
        <w:drawing>
          <wp:inline distT="0" distB="0" distL="0" distR="0">
            <wp:extent cx="369303" cy="250002"/>
            <wp:effectExtent l="0" t="0" r="0" b="0"/>
            <wp:docPr id="90" name="IM 90"/>
            <wp:cNvGraphicFramePr/>
            <a:graphic>
              <a:graphicData uri="http://schemas.openxmlformats.org/drawingml/2006/picture">
                <pic:pic>
                  <pic:nvPicPr>
                    <pic:cNvPr id="90" name="IM 90"/>
                    <pic:cNvPicPr/>
                  </pic:nvPicPr>
                  <pic:blipFill>
                    <a:blip r:embed="rId58"/>
                    <a:stretch>
                      <a:fillRect/>
                    </a:stretch>
                  </pic:blipFill>
                  <pic:spPr>
                    <a:xfrm rot="0">
                      <a:off x="0" y="0"/>
                      <a:ext cx="369303" cy="250002"/>
                    </a:xfrm>
                    <a:prstGeom prst="rect">
                      <a:avLst/>
                    </a:prstGeom>
                  </pic:spPr>
                </pic:pic>
              </a:graphicData>
            </a:graphic>
          </wp:inline>
        </w:drawing>
      </w:r>
      <w:r>
        <w:rPr>
          <w:rFonts w:ascii="Microsoft YaHei" w:hAnsi="Microsoft YaHei" w:eastAsia="Microsoft YaHei" w:cs="Microsoft YaHei"/>
          <w:sz w:val="18"/>
          <w:szCs w:val="18"/>
          <w:color w:val="D9D9D9"/>
          <w:spacing w:val="49"/>
        </w:rPr>
        <w:t xml:space="preserve"> </w:t>
      </w:r>
      <w:r>
        <w:rPr>
          <w:rFonts w:ascii="Microsoft YaHei" w:hAnsi="Microsoft YaHei" w:eastAsia="Microsoft YaHei" w:cs="Microsoft YaHei"/>
          <w:sz w:val="18"/>
          <w:szCs w:val="18"/>
          <w:color w:val="D9D9D9"/>
          <w:spacing w:val="2"/>
        </w:rPr>
        <w:t>数据治理</w:t>
      </w:r>
      <w:r>
        <w:rPr>
          <w:rFonts w:ascii="Microsoft YaHei" w:hAnsi="Microsoft YaHei" w:eastAsia="Microsoft YaHei" w:cs="Microsoft YaHei"/>
          <w:sz w:val="18"/>
          <w:szCs w:val="18"/>
          <w:color w:val="D9D9D9"/>
          <w:spacing w:val="48"/>
          <w:w w:val="101"/>
        </w:rPr>
        <w:t xml:space="preserve"> </w:t>
      </w:r>
      <w:r>
        <w:rPr>
          <w:rFonts w:ascii="Microsoft YaHei" w:hAnsi="Microsoft YaHei" w:eastAsia="Microsoft YaHei" w:cs="Microsoft YaHei"/>
          <w:sz w:val="18"/>
          <w:szCs w:val="18"/>
          <w:color w:val="4B4C4D"/>
          <w:spacing w:val="2"/>
        </w:rPr>
        <w:t>理论、方法与实践</w:t>
      </w:r>
    </w:p>
    <w:p>
      <w:pPr>
        <w:spacing w:line="334" w:lineRule="auto"/>
        <w:rPr>
          <w:rFonts w:ascii="Arial"/>
          <w:sz w:val="21"/>
        </w:rPr>
      </w:pPr>
      <w:r/>
    </w:p>
    <w:p>
      <w:pPr>
        <w:pStyle w:val="BodyText"/>
        <w:ind w:left="588" w:hanging="11"/>
        <w:spacing w:before="68" w:line="253" w:lineRule="auto"/>
        <w:rPr/>
      </w:pPr>
      <w:r>
        <w:rPr>
          <w:color w:val="231F20"/>
          <w:spacing w:val="5"/>
        </w:rPr>
        <w:t>础资源是整体技术框架的支持组件，在提供最基础的技术保障的同时，</w:t>
      </w:r>
      <w:r>
        <w:rPr>
          <w:color w:val="231F20"/>
          <w:spacing w:val="-61"/>
        </w:rPr>
        <w:t xml:space="preserve"> </w:t>
      </w:r>
      <w:r>
        <w:rPr>
          <w:color w:val="231F20"/>
          <w:spacing w:val="5"/>
        </w:rPr>
        <w:t>以工具的形式保</w:t>
      </w:r>
      <w:r>
        <w:rPr>
          <w:color w:val="231F20"/>
        </w:rPr>
        <w:t xml:space="preserve"> </w:t>
      </w:r>
      <w:r>
        <w:rPr>
          <w:color w:val="231F20"/>
          <w:spacing w:val="-4"/>
        </w:rPr>
        <w:t>障数据安全。</w:t>
      </w:r>
    </w:p>
    <w:p>
      <w:pPr>
        <w:pStyle w:val="BodyText"/>
        <w:ind w:left="578" w:right="8" w:firstLine="325"/>
        <w:spacing w:before="69" w:line="278" w:lineRule="auto"/>
        <w:jc w:val="both"/>
        <w:rPr/>
      </w:pPr>
      <w:r>
        <w:rPr>
          <w:color w:val="231F20"/>
        </w:rPr>
        <w:t>（</w:t>
      </w:r>
      <w:r>
        <w:rPr>
          <w:rFonts w:ascii="Times New Roman" w:hAnsi="Times New Roman" w:eastAsia="Times New Roman" w:cs="Times New Roman"/>
          <w:color w:val="231F20"/>
        </w:rPr>
        <w:t>3</w:t>
      </w:r>
      <w:r>
        <w:rPr>
          <w:color w:val="231F20"/>
        </w:rPr>
        <w:t>）强调数据资源，尊重数据规律，遵循数据伦理。在数据生命周期的每个阶段，都</w:t>
      </w:r>
      <w:r>
        <w:rPr>
          <w:color w:val="231F20"/>
          <w:spacing w:val="2"/>
        </w:rPr>
        <w:t xml:space="preserve"> </w:t>
      </w:r>
      <w:r>
        <w:rPr>
          <w:color w:val="231F20"/>
        </w:rPr>
        <w:t>必须始终考虑道德伦理和隐私问题，从保护个人数据的隐私收集到基于自动数据分析进行</w:t>
      </w:r>
      <w:r>
        <w:rPr>
          <w:color w:val="231F20"/>
          <w:spacing w:val="10"/>
        </w:rPr>
        <w:t xml:space="preserve"> </w:t>
      </w:r>
      <w:r>
        <w:rPr>
          <w:color w:val="231F20"/>
        </w:rPr>
        <w:t>的决策，数据生命周期中的伦理探究始终是需要不断关注的方向。数据伦理问题的探析与</w:t>
      </w:r>
      <w:r>
        <w:rPr>
          <w:color w:val="231F20"/>
          <w:spacing w:val="2"/>
        </w:rPr>
        <w:t xml:space="preserve"> </w:t>
      </w:r>
      <w:r>
        <w:rPr>
          <w:color w:val="231F20"/>
        </w:rPr>
        <w:t>数据生命周期密不可分，但目前数据伦理问题的研究和解决方案大多只针对生命周期的某</w:t>
      </w:r>
      <w:r>
        <w:rPr>
          <w:color w:val="231F20"/>
          <w:spacing w:val="10"/>
        </w:rPr>
        <w:t xml:space="preserve"> </w:t>
      </w:r>
      <w:r>
        <w:rPr>
          <w:color w:val="231F20"/>
          <w:spacing w:val="6"/>
        </w:rPr>
        <w:t>一阶段，而隐私伦理问题和安全威胁存在于整个数据生命周期中，应从各个阶</w:t>
      </w:r>
      <w:r>
        <w:rPr>
          <w:color w:val="231F20"/>
          <w:spacing w:val="5"/>
        </w:rPr>
        <w:t>段详细探</w:t>
      </w:r>
      <w:r>
        <w:rPr>
          <w:color w:val="231F20"/>
        </w:rPr>
        <w:t xml:space="preserve"> </w:t>
      </w:r>
      <w:r>
        <w:rPr>
          <w:color w:val="231F20"/>
        </w:rPr>
        <w:t>析。总体上看，数据生命周期的有序递进，离不开隐私安全和伦理道德规范的规制。</w:t>
      </w:r>
      <w:r>
        <w:rPr>
          <w:color w:val="231F20"/>
          <w:spacing w:val="-1"/>
        </w:rPr>
        <w:t>应当</w:t>
      </w:r>
      <w:r>
        <w:rPr>
          <w:color w:val="231F20"/>
        </w:rPr>
        <w:t xml:space="preserve"> </w:t>
      </w:r>
      <w:r>
        <w:rPr>
          <w:color w:val="231F20"/>
        </w:rPr>
        <w:t>从数据生命周期视角研究伦理问题，明晰数据在不同阶段下的状态，有效识别杂糅在各个</w:t>
      </w:r>
      <w:r>
        <w:rPr>
          <w:color w:val="231F20"/>
          <w:spacing w:val="11"/>
        </w:rPr>
        <w:t xml:space="preserve"> </w:t>
      </w:r>
      <w:r>
        <w:rPr>
          <w:color w:val="231F20"/>
        </w:rPr>
        <w:t>阶段的伦理问题及潜在风险，以确保数据使用主体更恰当地使用数据，促进数据应用符合</w:t>
      </w:r>
      <w:r>
        <w:rPr>
          <w:color w:val="231F20"/>
          <w:spacing w:val="11"/>
        </w:rPr>
        <w:t xml:space="preserve"> </w:t>
      </w:r>
      <w:r>
        <w:rPr>
          <w:color w:val="231F20"/>
          <w:spacing w:val="-5"/>
        </w:rPr>
        <w:t>法律与道德标准。</w:t>
      </w:r>
    </w:p>
    <w:p>
      <w:pPr>
        <w:pStyle w:val="BodyText"/>
        <w:ind w:left="577" w:right="2" w:firstLine="326"/>
        <w:spacing w:before="72" w:line="277" w:lineRule="auto"/>
        <w:jc w:val="both"/>
        <w:rPr/>
      </w:pPr>
      <w:r>
        <w:rPr>
          <w:color w:val="231F20"/>
        </w:rPr>
        <w:t>（</w:t>
      </w:r>
      <w:r>
        <w:rPr>
          <w:rFonts w:ascii="Times New Roman" w:hAnsi="Times New Roman" w:eastAsia="Times New Roman" w:cs="Times New Roman"/>
          <w:color w:val="231F20"/>
        </w:rPr>
        <w:t>4</w:t>
      </w:r>
      <w:r>
        <w:rPr>
          <w:color w:val="231F20"/>
        </w:rPr>
        <w:t>）与具体情景治理理念和组织业务目标保持一致。离开现实背景的支持，再多的理</w:t>
      </w:r>
      <w:r>
        <w:rPr>
          <w:color w:val="231F20"/>
          <w:spacing w:val="5"/>
        </w:rPr>
        <w:t xml:space="preserve"> </w:t>
      </w:r>
      <w:r>
        <w:rPr>
          <w:color w:val="231F20"/>
          <w:spacing w:val="1"/>
        </w:rPr>
        <w:t>论都只是无源之水、无本之木，因此数据治理的</w:t>
      </w:r>
      <w:r>
        <w:rPr>
          <w:color w:val="231F20"/>
        </w:rPr>
        <w:t>一个重要特点是与情景治理理念和组织业 </w:t>
      </w:r>
      <w:r>
        <w:rPr>
          <w:color w:val="231F20"/>
        </w:rPr>
        <w:t>务目标保持一致，在此基础上，数据治理才能最大限度地挖掘数据要素的价值，并对组织</w:t>
      </w:r>
      <w:r>
        <w:rPr>
          <w:color w:val="231F20"/>
          <w:spacing w:val="9"/>
        </w:rPr>
        <w:t xml:space="preserve"> </w:t>
      </w:r>
      <w:r>
        <w:rPr>
          <w:color w:val="231F20"/>
        </w:rPr>
        <w:t>目标的实现起到积极作用。正因为数据治理过程对组织目标的推进作用，因此在组织内的</w:t>
      </w:r>
      <w:r>
        <w:rPr>
          <w:color w:val="231F20"/>
          <w:spacing w:val="5"/>
        </w:rPr>
        <w:t xml:space="preserve"> </w:t>
      </w:r>
      <w:r>
        <w:rPr>
          <w:color w:val="231F20"/>
        </w:rPr>
        <w:t>数据治理实施绝不是一个部门的事情，需要从组织的全局性视角考虑，建立专业清晰的数</w:t>
      </w:r>
      <w:r>
        <w:rPr>
          <w:color w:val="231F20"/>
          <w:spacing w:val="12"/>
        </w:rPr>
        <w:t xml:space="preserve"> </w:t>
      </w:r>
      <w:r>
        <w:rPr>
          <w:color w:val="231F20"/>
        </w:rPr>
        <w:t>据治理组织架构，明确权责关系，培养整个组织的数据治理意识，从而保障数据治理过程</w:t>
      </w:r>
      <w:r>
        <w:rPr>
          <w:color w:val="231F20"/>
          <w:spacing w:val="13"/>
        </w:rPr>
        <w:t xml:space="preserve"> </w:t>
      </w:r>
      <w:r>
        <w:rPr>
          <w:color w:val="231F20"/>
        </w:rPr>
        <w:t>中数据的质量和治理的效率，从而为关键业务和管理决策提供支持。从总体上说，数据治</w:t>
      </w:r>
      <w:r>
        <w:rPr>
          <w:color w:val="231F20"/>
          <w:spacing w:val="6"/>
        </w:rPr>
        <w:t xml:space="preserve"> </w:t>
      </w:r>
      <w:r>
        <w:rPr>
          <w:color w:val="231F20"/>
          <w:spacing w:val="-4"/>
        </w:rPr>
        <w:t>理组织体系应如图</w:t>
      </w:r>
      <w:r>
        <w:rPr>
          <w:color w:val="231F20"/>
          <w:spacing w:val="-18"/>
        </w:rPr>
        <w:t xml:space="preserve"> </w:t>
      </w:r>
      <w:r>
        <w:rPr>
          <w:rFonts w:ascii="Times New Roman" w:hAnsi="Times New Roman" w:eastAsia="Times New Roman" w:cs="Times New Roman"/>
          <w:color w:val="231F20"/>
          <w:spacing w:val="-4"/>
        </w:rPr>
        <w:t>1.3 </w:t>
      </w:r>
      <w:r>
        <w:rPr>
          <w:color w:val="231F20"/>
          <w:spacing w:val="-4"/>
        </w:rPr>
        <w:t>所示。</w:t>
      </w:r>
    </w:p>
    <w:p>
      <w:pPr>
        <w:spacing w:line="243" w:lineRule="auto"/>
        <w:rPr>
          <w:rFonts w:ascii="Arial"/>
          <w:sz w:val="21"/>
        </w:rPr>
      </w:pPr>
      <w:r/>
    </w:p>
    <w:p>
      <w:pPr>
        <w:pStyle w:val="BodyText"/>
        <w:ind w:firstLine="953"/>
        <w:spacing w:line="3016" w:lineRule="exact"/>
        <w:rPr/>
      </w:pPr>
      <w:r>
        <w:rPr>
          <w:position w:val="-60"/>
        </w:rPr>
        <w:pict>
          <v:group id="_x0000_s72" style="mso-position-vertical-relative:line;mso-position-horizontal-relative:char;width:372.65pt;height:150.8pt;" filled="false" stroked="false" coordsize="7452,3016" coordorigin="0,0">
            <v:shape id="_x0000_s74" style="position:absolute;left:0;top:0;width:7450;height:3015;" filled="false" stroked="false" type="#_x0000_t75">
              <v:imagedata o:title="" r:id="rId59"/>
            </v:shape>
            <v:shape id="_x0000_s76" style="position:absolute;left:3003;top:0;width:4450;height:3015;" filled="false" stroked="false" type="#_x0000_t75">
              <v:imagedata o:title="" r:id="rId60"/>
            </v:shape>
            <v:shape id="_x0000_s78" style="position:absolute;left:965;top:1958;width:1483;height:784;" filled="false" stroked="false" type="#_x0000_t75">
              <v:imagedata o:title="" r:id="rId61"/>
            </v:shape>
            <v:shape id="_x0000_s80" style="position:absolute;left:59;top:278;width:4416;height:2313;" filled="false" stroked="false" type="#_x0000_t202">
              <v:fill on="false"/>
              <v:stroke on="false"/>
              <v:path/>
              <v:imagedata o:title=""/>
              <o:lock v:ext="edit" aspectratio="false"/>
              <v:textbox inset="0mm,0mm,0mm,0mm">
                <w:txbxContent>
                  <w:p>
                    <w:pPr>
                      <w:spacing w:line="20" w:lineRule="exact"/>
                      <w:rPr/>
                    </w:pPr>
                    <w:r/>
                  </w:p>
                  <w:tbl>
                    <w:tblPr>
                      <w:tblStyle w:val="TableNormal"/>
                      <w:tblW w:w="1446" w:type="dxa"/>
                      <w:tblInd w:w="2943" w:type="dxa"/>
                      <w:tblLayout w:type="fixed"/>
                      <w:tblBorders>
                        <w:left w:val="single" w:color="231F20" w:sz="4" w:space="0"/>
                        <w:bottom w:val="single" w:color="231F20" w:sz="4" w:space="0"/>
                        <w:right w:val="single" w:color="231F20" w:sz="4" w:space="0"/>
                        <w:top w:val="single" w:color="231F20" w:sz="4" w:space="0"/>
                      </w:tblBorders>
                    </w:tblPr>
                    <w:tblGrid>
                      <w:gridCol w:w="1446"/>
                    </w:tblGrid>
                    <w:tr>
                      <w:trPr>
                        <w:trHeight w:val="476" w:hRule="atLeast"/>
                      </w:trPr>
                      <w:tc>
                        <w:tcPr>
                          <w:tcW w:w="1446" w:type="dxa"/>
                          <w:vAlign w:val="top"/>
                        </w:tcPr>
                        <w:p>
                          <w:pPr>
                            <w:ind w:left="96"/>
                            <w:spacing w:before="135" w:line="220" w:lineRule="auto"/>
                            <w:rPr>
                              <w:rFonts w:ascii="SimSun" w:hAnsi="SimSun" w:eastAsia="SimSun" w:cs="SimSun"/>
                              <w:sz w:val="18"/>
                              <w:szCs w:val="18"/>
                            </w:rPr>
                          </w:pPr>
                          <w:r>
                            <w:rPr>
                              <w:rFonts w:ascii="SimSun" w:hAnsi="SimSun" w:eastAsia="SimSun" w:cs="SimSun"/>
                              <w:sz w:val="18"/>
                              <w:szCs w:val="18"/>
                              <w:color w:val="231F20"/>
                              <w:spacing w:val="-2"/>
                            </w:rPr>
                            <w:t>数据治理委员会</w:t>
                          </w:r>
                        </w:p>
                      </w:tc>
                    </w:tr>
                  </w:tbl>
                  <w:p>
                    <w:pPr>
                      <w:spacing w:before="141"/>
                      <w:rPr/>
                    </w:pPr>
                    <w:r/>
                  </w:p>
                  <w:tbl>
                    <w:tblPr>
                      <w:tblStyle w:val="TableNormal"/>
                      <w:tblW w:w="1446" w:type="dxa"/>
                      <w:tblInd w:w="2943" w:type="dxa"/>
                      <w:shd w:val="clear" w:fill="FFFFFF"/>
                      <w:tblLayout w:type="fixed"/>
                      <w:tblBorders>
                        <w:left w:val="single" w:color="231F20" w:sz="4" w:space="0"/>
                        <w:bottom w:val="single" w:color="231F20" w:sz="4" w:space="0"/>
                        <w:right w:val="single" w:color="231F20" w:sz="4" w:space="0"/>
                        <w:top w:val="single" w:color="231F20" w:sz="4" w:space="0"/>
                      </w:tblBorders>
                    </w:tblPr>
                    <w:tblGrid>
                      <w:gridCol w:w="1446"/>
                    </w:tblGrid>
                    <w:tr>
                      <w:trPr>
                        <w:trHeight w:val="476" w:hRule="atLeast"/>
                      </w:trPr>
                      <w:tc>
                        <w:tcPr>
                          <w:shd w:val="clear" w:fill="FFFFFF"/>
                          <w:tcW w:w="1446" w:type="dxa"/>
                          <w:vAlign w:val="top"/>
                        </w:tcPr>
                        <w:p>
                          <w:pPr>
                            <w:ind w:left="96"/>
                            <w:spacing w:before="135" w:line="220" w:lineRule="auto"/>
                            <w:rPr>
                              <w:rFonts w:ascii="SimSun" w:hAnsi="SimSun" w:eastAsia="SimSun" w:cs="SimSun"/>
                              <w:sz w:val="18"/>
                              <w:szCs w:val="18"/>
                            </w:rPr>
                          </w:pPr>
                          <w:r>
                            <w:rPr>
                              <w:rFonts w:ascii="SimSun" w:hAnsi="SimSun" w:eastAsia="SimSun" w:cs="SimSun"/>
                              <w:sz w:val="18"/>
                              <w:szCs w:val="18"/>
                              <w:color w:val="231F20"/>
                              <w:spacing w:val="-2"/>
                            </w:rPr>
                            <w:t>数据治理工作组</w:t>
                          </w:r>
                        </w:p>
                      </w:tc>
                    </w:tr>
                  </w:tbl>
                  <w:p>
                    <w:pPr>
                      <w:spacing w:line="255" w:lineRule="auto"/>
                      <w:rPr>
                        <w:rFonts w:ascii="Arial"/>
                        <w:sz w:val="21"/>
                      </w:rPr>
                    </w:pPr>
                    <w:r/>
                  </w:p>
                  <w:p>
                    <w:pPr>
                      <w:spacing w:line="255" w:lineRule="auto"/>
                      <w:rPr>
                        <w:rFonts w:ascii="Arial"/>
                        <w:sz w:val="21"/>
                      </w:rPr>
                    </w:pPr>
                    <w:r/>
                  </w:p>
                  <w:p>
                    <w:pPr>
                      <w:ind w:left="20"/>
                      <w:spacing w:before="59" w:line="166" w:lineRule="auto"/>
                      <w:rPr>
                        <w:rFonts w:ascii="SimSun" w:hAnsi="SimSun" w:eastAsia="SimSun" w:cs="SimSun"/>
                        <w:sz w:val="18"/>
                        <w:szCs w:val="18"/>
                      </w:rPr>
                    </w:pPr>
                    <w:r>
                      <w:rPr>
                        <w:rFonts w:ascii="SimSun" w:hAnsi="SimSun" w:eastAsia="SimSun" w:cs="SimSun"/>
                        <w:sz w:val="18"/>
                        <w:szCs w:val="18"/>
                        <w:color w:val="231F20"/>
                        <w:spacing w:val="-2"/>
                      </w:rPr>
                      <w:t>本地级</w:t>
                    </w:r>
                  </w:p>
                  <w:p>
                    <w:pPr>
                      <w:ind w:left="1480"/>
                      <w:spacing w:line="201" w:lineRule="auto"/>
                      <w:rPr>
                        <w:rFonts w:ascii="SimSun" w:hAnsi="SimSun" w:eastAsia="SimSun" w:cs="SimSun"/>
                        <w:sz w:val="18"/>
                        <w:szCs w:val="18"/>
                      </w:rPr>
                    </w:pPr>
                    <w:r>
                      <w:rPr>
                        <w:rFonts w:ascii="SimSun" w:hAnsi="SimSun" w:eastAsia="SimSun" w:cs="SimSun"/>
                        <w:sz w:val="18"/>
                        <w:szCs w:val="18"/>
                        <w:color w:val="231F20"/>
                        <w:spacing w:val="-2"/>
                      </w:rPr>
                      <w:t>业务部门</w:t>
                    </w:r>
                  </w:p>
                </w:txbxContent>
              </v:textbox>
            </v:shape>
            <v:shape id="_x0000_s82" style="position:absolute;left:5164;top:1958;width:1483;height:784;" filled="false" stroked="false" type="#_x0000_t75">
              <v:imagedata o:title="" r:id="rId62"/>
            </v:shape>
            <v:shape id="_x0000_s84" style="position:absolute;left:3064;top:1958;width:1483;height:784;" filled="false" stroked="false" type="#_x0000_t75">
              <v:imagedata o:title="" r:id="rId63"/>
            </v:shape>
            <v:shape id="_x0000_s86" style="position:absolute;left:1178;top:1158;width:1496;height:537;" filled="false" stroked="false" type="#_x0000_t202">
              <v:fill on="false"/>
              <v:stroke on="false"/>
              <v:path/>
              <v:imagedata o:title=""/>
              <o:lock v:ext="edit" aspectratio="false"/>
              <v:textbox inset="0mm,0mm,0mm,0mm">
                <w:txbxContent>
                  <w:p>
                    <w:pPr>
                      <w:spacing w:line="20" w:lineRule="exact"/>
                      <w:rPr/>
                    </w:pPr>
                    <w:r/>
                  </w:p>
                  <w:tbl>
                    <w:tblPr>
                      <w:tblStyle w:val="TableNormal"/>
                      <w:tblW w:w="1446" w:type="dxa"/>
                      <w:tblInd w:w="25" w:type="dxa"/>
                      <w:shd w:val="clear" w:fill="FFFFFF"/>
                      <w:tblLayout w:type="fixed"/>
                      <w:tblBorders>
                        <w:left w:val="single" w:color="231F20" w:sz="4" w:space="0"/>
                        <w:bottom w:val="single" w:color="231F20" w:sz="4" w:space="0"/>
                        <w:right w:val="single" w:color="231F20" w:sz="4" w:space="0"/>
                        <w:top w:val="single" w:color="231F20" w:sz="4" w:space="0"/>
                      </w:tblBorders>
                    </w:tblPr>
                    <w:tblGrid>
                      <w:gridCol w:w="1446"/>
                    </w:tblGrid>
                    <w:tr>
                      <w:trPr>
                        <w:trHeight w:val="476" w:hRule="atLeast"/>
                      </w:trPr>
                      <w:tc>
                        <w:tcPr>
                          <w:shd w:val="clear" w:fill="FFFFFF"/>
                          <w:tcW w:w="1446" w:type="dxa"/>
                          <w:vAlign w:val="top"/>
                        </w:tcPr>
                        <w:p>
                          <w:pPr>
                            <w:ind w:left="96"/>
                            <w:spacing w:before="135" w:line="220" w:lineRule="auto"/>
                            <w:rPr>
                              <w:rFonts w:ascii="SimSun" w:hAnsi="SimSun" w:eastAsia="SimSun" w:cs="SimSun"/>
                              <w:sz w:val="18"/>
                              <w:szCs w:val="18"/>
                            </w:rPr>
                          </w:pPr>
                          <w:r>
                            <w:rPr>
                              <w:rFonts w:ascii="SimSun" w:hAnsi="SimSun" w:eastAsia="SimSun" w:cs="SimSun"/>
                              <w:sz w:val="18"/>
                              <w:szCs w:val="18"/>
                              <w:color w:val="231F20"/>
                              <w:spacing w:val="-2"/>
                            </w:rPr>
                            <w:t>数据治理工作组</w:t>
                          </w:r>
                        </w:p>
                      </w:tc>
                    </w:tr>
                  </w:tbl>
                  <w:p>
                    <w:pPr>
                      <w:rPr>
                        <w:rFonts w:ascii="Arial"/>
                        <w:sz w:val="21"/>
                      </w:rPr>
                    </w:pPr>
                    <w:r/>
                  </w:p>
                </w:txbxContent>
              </v:textbox>
            </v:shape>
            <v:shape id="_x0000_s88" style="position:absolute;left:4778;top:1158;width:1496;height:537;" filled="false" stroked="false" type="#_x0000_t202">
              <v:fill on="false"/>
              <v:stroke on="false"/>
              <v:path/>
              <v:imagedata o:title=""/>
              <o:lock v:ext="edit" aspectratio="false"/>
              <v:textbox inset="0mm,0mm,0mm,0mm">
                <w:txbxContent>
                  <w:p>
                    <w:pPr>
                      <w:spacing w:line="20" w:lineRule="exact"/>
                      <w:rPr/>
                    </w:pPr>
                    <w:r/>
                  </w:p>
                  <w:tbl>
                    <w:tblPr>
                      <w:tblStyle w:val="TableNormal"/>
                      <w:tblW w:w="1446" w:type="dxa"/>
                      <w:tblInd w:w="25" w:type="dxa"/>
                      <w:shd w:val="clear" w:fill="FFFFFF"/>
                      <w:tblLayout w:type="fixed"/>
                      <w:tblBorders>
                        <w:left w:val="single" w:color="231F20" w:sz="4" w:space="0"/>
                        <w:bottom w:val="single" w:color="231F20" w:sz="4" w:space="0"/>
                        <w:right w:val="single" w:color="231F20" w:sz="4" w:space="0"/>
                        <w:top w:val="single" w:color="231F20" w:sz="4" w:space="0"/>
                      </w:tblBorders>
                    </w:tblPr>
                    <w:tblGrid>
                      <w:gridCol w:w="1446"/>
                    </w:tblGrid>
                    <w:tr>
                      <w:trPr>
                        <w:trHeight w:val="476" w:hRule="atLeast"/>
                      </w:trPr>
                      <w:tc>
                        <w:tcPr>
                          <w:shd w:val="clear" w:fill="FFFFFF"/>
                          <w:tcW w:w="1446" w:type="dxa"/>
                          <w:vAlign w:val="top"/>
                        </w:tcPr>
                        <w:p>
                          <w:pPr>
                            <w:ind w:left="96"/>
                            <w:spacing w:before="135" w:line="220" w:lineRule="auto"/>
                            <w:rPr>
                              <w:rFonts w:ascii="SimSun" w:hAnsi="SimSun" w:eastAsia="SimSun" w:cs="SimSun"/>
                              <w:sz w:val="18"/>
                              <w:szCs w:val="18"/>
                            </w:rPr>
                          </w:pPr>
                          <w:r>
                            <w:rPr>
                              <w:rFonts w:ascii="SimSun" w:hAnsi="SimSun" w:eastAsia="SimSun" w:cs="SimSun"/>
                              <w:sz w:val="18"/>
                              <w:szCs w:val="18"/>
                              <w:color w:val="231F20"/>
                              <w:spacing w:val="-2"/>
                            </w:rPr>
                            <w:t>数据治理工作组</w:t>
                          </w:r>
                        </w:p>
                      </w:tc>
                    </w:tr>
                  </w:tbl>
                  <w:p>
                    <w:pPr>
                      <w:rPr>
                        <w:rFonts w:ascii="Arial"/>
                        <w:sz w:val="21"/>
                      </w:rPr>
                    </w:pPr>
                    <w:r/>
                  </w:p>
                </w:txbxContent>
              </v:textbox>
            </v:shape>
            <v:shape id="_x0000_s90" style="position:absolute;left:5720;top:2370;width:753;height:221;"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8"/>
                        <w:szCs w:val="18"/>
                      </w:rPr>
                    </w:pPr>
                    <w:r>
                      <w:rPr>
                        <w:rFonts w:ascii="SimSun" w:hAnsi="SimSun" w:eastAsia="SimSun" w:cs="SimSun"/>
                        <w:sz w:val="18"/>
                        <w:szCs w:val="18"/>
                        <w:color w:val="231F20"/>
                        <w:spacing w:val="-2"/>
                      </w:rPr>
                      <w:t>其他部门</w:t>
                    </w:r>
                  </w:p>
                </w:txbxContent>
              </v:textbox>
            </v:shape>
            <v:shape id="_x0000_s92" style="position:absolute;left:61;top:424;width:570;height:221;" filled="false" stroked="false" type="#_x0000_t202">
              <v:fill on="false"/>
              <v:stroke on="false"/>
              <v:path/>
              <v:imagedata o:title=""/>
              <o:lock v:ext="edit" aspectratio="false"/>
              <v:textbox inset="0mm,0mm,0mm,0mm">
                <w:txbxContent>
                  <w:p>
                    <w:pPr>
                      <w:ind w:left="20"/>
                      <w:spacing w:before="20" w:line="222" w:lineRule="auto"/>
                      <w:rPr>
                        <w:rFonts w:ascii="SimSun" w:hAnsi="SimSun" w:eastAsia="SimSun" w:cs="SimSun"/>
                        <w:sz w:val="18"/>
                        <w:szCs w:val="18"/>
                      </w:rPr>
                    </w:pPr>
                    <w:r>
                      <w:rPr>
                        <w:rFonts w:ascii="SimSun" w:hAnsi="SimSun" w:eastAsia="SimSun" w:cs="SimSun"/>
                        <w:sz w:val="18"/>
                        <w:szCs w:val="18"/>
                        <w:color w:val="231F20"/>
                        <w:spacing w:val="-3"/>
                      </w:rPr>
                      <w:t>企业级</w:t>
                    </w:r>
                  </w:p>
                </w:txbxContent>
              </v:textbox>
            </v:shape>
            <v:shape id="_x0000_s94" style="position:absolute;left:61;top:1304;width:570;height:221;"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8"/>
                        <w:szCs w:val="18"/>
                      </w:rPr>
                    </w:pPr>
                    <w:r>
                      <w:rPr>
                        <w:rFonts w:ascii="SimSun" w:hAnsi="SimSun" w:eastAsia="SimSun" w:cs="SimSun"/>
                        <w:sz w:val="18"/>
                        <w:szCs w:val="18"/>
                        <w:color w:val="231F20"/>
                        <w:spacing w:val="-3"/>
                      </w:rPr>
                      <w:t>项目级</w:t>
                    </w:r>
                  </w:p>
                </w:txbxContent>
              </v:textbox>
            </v:shape>
            <v:shape id="_x0000_s96" style="position:absolute;left:3712;top:2371;width:565;height:221;"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8"/>
                        <w:szCs w:val="18"/>
                      </w:rPr>
                    </w:pPr>
                    <w:r>
                      <w:rPr>
                        <w:rFonts w:ascii="Times New Roman" w:hAnsi="Times New Roman" w:eastAsia="Times New Roman" w:cs="Times New Roman"/>
                        <w:sz w:val="18"/>
                        <w:szCs w:val="18"/>
                        <w:color w:val="231F20"/>
                        <w:spacing w:val="-2"/>
                      </w:rPr>
                      <w:t>IT</w:t>
                    </w:r>
                    <w:r>
                      <w:rPr>
                        <w:rFonts w:ascii="SimSun" w:hAnsi="SimSun" w:eastAsia="SimSun" w:cs="SimSun"/>
                        <w:sz w:val="18"/>
                        <w:szCs w:val="18"/>
                        <w:color w:val="231F20"/>
                        <w:spacing w:val="-2"/>
                      </w:rPr>
                      <w:t>部门</w:t>
                    </w:r>
                  </w:p>
                </w:txbxContent>
              </v:textbox>
            </v:shape>
            <v:rect id="_x0000_s98" style="position:absolute;left:3;top:3005;width:7447;height:10;" fillcolor="#231F20" filled="true" stroked="false"/>
          </v:group>
        </w:pict>
      </w:r>
    </w:p>
    <w:p>
      <w:pPr>
        <w:pStyle w:val="BodyText"/>
        <w:ind w:left="3399"/>
        <w:spacing w:before="121" w:line="456" w:lineRule="exact"/>
        <w:rPr>
          <w:sz w:val="18"/>
          <w:szCs w:val="18"/>
        </w:rPr>
      </w:pPr>
      <w:r>
        <w:rPr>
          <w:sz w:val="18"/>
          <w:szCs w:val="18"/>
          <w:color w:val="231F20"/>
          <w:spacing w:val="-3"/>
          <w:position w:val="21"/>
        </w:rPr>
        <w:t>图</w:t>
      </w:r>
      <w:r>
        <w:rPr>
          <w:sz w:val="18"/>
          <w:szCs w:val="18"/>
          <w:color w:val="231F20"/>
          <w:spacing w:val="-13"/>
          <w:position w:val="21"/>
        </w:rPr>
        <w:t xml:space="preserve"> </w:t>
      </w:r>
      <w:r>
        <w:rPr>
          <w:rFonts w:ascii="Times New Roman" w:hAnsi="Times New Roman" w:eastAsia="Times New Roman" w:cs="Times New Roman"/>
          <w:sz w:val="18"/>
          <w:szCs w:val="18"/>
          <w:color w:val="231F20"/>
          <w:spacing w:val="-3"/>
          <w:position w:val="21"/>
        </w:rPr>
        <w:t>1.3    </w:t>
      </w:r>
      <w:r>
        <w:rPr>
          <w:sz w:val="18"/>
          <w:szCs w:val="18"/>
          <w:color w:val="231F20"/>
          <w:spacing w:val="-3"/>
          <w:position w:val="21"/>
        </w:rPr>
        <w:t>数据治理组织体系示意图</w:t>
      </w:r>
    </w:p>
    <w:p>
      <w:pPr>
        <w:ind w:left="594"/>
        <w:spacing w:before="1" w:line="207" w:lineRule="auto"/>
        <w:rPr>
          <w:sz w:val="23"/>
          <w:szCs w:val="23"/>
        </w:rPr>
      </w:pPr>
      <w:r>
        <w:rPr>
          <w:rFonts w:ascii="Arial" w:hAnsi="Arial" w:eastAsia="Arial" w:cs="Arial"/>
          <w:sz w:val="23"/>
          <w:szCs w:val="23"/>
          <w:u w:val="single" w:color="76787B"/>
          <w:color w:val="231F20"/>
          <w:spacing w:val="-2"/>
        </w:rPr>
        <w:t>1.2.2</w:t>
      </w:r>
      <w:r>
        <w:rPr>
          <w:rFonts w:ascii="Arial" w:hAnsi="Arial" w:eastAsia="Arial" w:cs="Arial"/>
          <w:sz w:val="23"/>
          <w:szCs w:val="23"/>
          <w:u w:val="single" w:color="76787B"/>
          <w:color w:val="231F20"/>
          <w:spacing w:val="19"/>
        </w:rPr>
        <w:t xml:space="preserve">   </w:t>
      </w:r>
      <w:r>
        <w:rPr>
          <w:rFonts w:ascii="Microsoft YaHei" w:hAnsi="Microsoft YaHei" w:eastAsia="Microsoft YaHei" w:cs="Microsoft YaHei"/>
          <w:sz w:val="23"/>
          <w:szCs w:val="23"/>
          <w:u w:val="single" w:color="76787B"/>
          <w:color w:val="231F20"/>
          <w:spacing w:val="-2"/>
        </w:rPr>
        <w:t>数据治理工作的定义、要素、类型和领域</w:t>
      </w:r>
      <w:r>
        <w:rPr>
          <w:rFonts w:ascii="Microsoft YaHei" w:hAnsi="Microsoft YaHei" w:eastAsia="Microsoft YaHei" w:cs="Microsoft YaHei"/>
          <w:sz w:val="23"/>
          <w:szCs w:val="23"/>
          <w:u w:val="single" w:color="76787B"/>
          <w:color w:val="231F20"/>
          <w:spacing w:val="-36"/>
        </w:rPr>
        <w:t xml:space="preserve"> </w:t>
      </w:r>
      <w:r>
        <w:rPr>
          <w:sz w:val="23"/>
          <w:szCs w:val="23"/>
          <w:position w:val="-6"/>
        </w:rPr>
        <w:drawing>
          <wp:inline distT="0" distB="0" distL="0" distR="0">
            <wp:extent cx="70191" cy="187198"/>
            <wp:effectExtent l="0" t="0" r="0" b="0"/>
            <wp:docPr id="92" name="IM 92"/>
            <wp:cNvGraphicFramePr/>
            <a:graphic>
              <a:graphicData uri="http://schemas.openxmlformats.org/drawingml/2006/picture">
                <pic:pic>
                  <pic:nvPicPr>
                    <pic:cNvPr id="92" name="IM 92"/>
                    <pic:cNvPicPr/>
                  </pic:nvPicPr>
                  <pic:blipFill>
                    <a:blip r:embed="rId64"/>
                    <a:stretch>
                      <a:fillRect/>
                    </a:stretch>
                  </pic:blipFill>
                  <pic:spPr>
                    <a:xfrm rot="0">
                      <a:off x="0" y="0"/>
                      <a:ext cx="70191" cy="187198"/>
                    </a:xfrm>
                    <a:prstGeom prst="rect">
                      <a:avLst/>
                    </a:prstGeom>
                  </pic:spPr>
                </pic:pic>
              </a:graphicData>
            </a:graphic>
          </wp:inline>
        </w:drawing>
      </w:r>
    </w:p>
    <w:p>
      <w:pPr>
        <w:pStyle w:val="BodyText"/>
        <w:ind w:left="1019"/>
        <w:spacing w:before="174" w:line="220" w:lineRule="auto"/>
        <w:rPr/>
      </w:pPr>
      <w:r>
        <w:pict>
          <v:shape id="_x0000_s100" style="position:absolute;margin-left:186.696pt;margin-top:9.32178pt;mso-position-vertical-relative:text;mso-position-horizontal-relative:text;width:30.25pt;height:9.3pt;z-index:-251565056;" filled="false" strokecolor="#231F20" strokeweight="0.17pt" coordsize="605,186" coordorigin="0,0" path="m11,164l18,157c38,147,59,137,80,128l79,124l46,136l46,84l77,84l64,69l54,79l46,79l46,29l77,29l64,14l54,24l2,24l9,32c15,30,22,29,29,29l35,29l35,79l4,79l11,87c17,85,24,84,31,84l35,84l35,139c29,141,18,144,1,149l11,164xm93,105l93,96l123,96l123,132l78,132l86,139c92,137,98,137,105,137l123,137l123,170l55,170l62,178c68,176,74,175,82,175l193,175l178,160l168,170l133,170l133,137l181,137l167,122l157,132l133,132l133,96l163,96l163,106l173,101c173,91,173,78,173,60l173,22l179,17l167,7l161,14l93,14l82,7c83,24,83,41,83,58c83,74,83,91,82,109l93,105xm123,52l93,52l93,19l123,19l123,52xm163,52l133,52l133,19l163,19l163,52xm123,91l93,91l93,57l123,57l123,91xm163,91l133,91l133,57l163,57l163,91xm475,44c490,59,505,75,520,92c511,105,502,116,493,125c485,134,475,142,465,151l467,153c475,148,485,141,495,132c505,124,516,113,528,100c534,108,540,115,545,121c549,128,554,135,558,143c562,151,565,152,568,146c570,141,570,135,568,128c566,122,555,109,535,91c543,80,550,70,557,61c564,51,570,46,575,45l557,32c554,38,550,46,545,55c539,64,533,73,526,83c508,66,492,52,477,41l475,44xm438,5c439,19,439,28,439,33l439,169l434,173l447,183l452,176l602,176l588,160l576,171l451,171l451,18l600,18l584,1l573,13l451,13l438,5xe">
            <v:stroke joinstyle="miter" miterlimit="4"/>
          </v:shape>
        </w:pict>
      </w:r>
      <w:r>
        <w:rPr>
          <w:rFonts w:ascii="Times New Roman" w:hAnsi="Times New Roman" w:eastAsia="Times New Roman" w:cs="Times New Roman"/>
          <w:color w:val="231F20"/>
          <w:spacing w:val="-2"/>
        </w:rPr>
        <w:t>1. </w:t>
      </w:r>
      <w:r>
        <w:rPr>
          <w:color w:val="231F20"/>
          <w:spacing w:val="-2"/>
        </w:rPr>
        <w:t>宏观数据治理与微观数据治理的区别</w:t>
      </w:r>
    </w:p>
    <w:p>
      <w:pPr>
        <w:pStyle w:val="BodyText"/>
        <w:ind w:left="577" w:right="9" w:firstLine="426"/>
        <w:spacing w:before="73" w:line="273" w:lineRule="auto"/>
        <w:jc w:val="both"/>
        <w:rPr/>
      </w:pPr>
      <w:r>
        <w:rPr>
          <w:color w:val="231F20"/>
          <w:spacing w:val="6"/>
        </w:rPr>
        <w:t>宏观数据治理是国家层面的数据治理，也是国家政策和法律法规中经常出现的</w:t>
      </w:r>
      <w:r>
        <w:rPr>
          <w:color w:val="231F20"/>
          <w:spacing w:val="5"/>
        </w:rPr>
        <w:t>数据</w:t>
      </w:r>
      <w:r>
        <w:rPr>
          <w:color w:val="231F20"/>
        </w:rPr>
        <w:t xml:space="preserve"> </w:t>
      </w:r>
      <w:r>
        <w:rPr>
          <w:color w:val="231F20"/>
        </w:rPr>
        <w:t>治理一词的含义，属于国家治理范畴。微观数据治理是企业层面的数据治理，也可称为企</w:t>
      </w:r>
      <w:r>
        <w:rPr>
          <w:color w:val="231F20"/>
          <w:spacing w:val="12"/>
        </w:rPr>
        <w:t xml:space="preserve"> </w:t>
      </w:r>
      <w:r>
        <w:rPr>
          <w:color w:val="231F20"/>
        </w:rPr>
        <w:t>业数据治理或者数据治理工作，属于企业管理的范畴。本书将微观数据治理称为数据治理</w:t>
      </w:r>
      <w:r>
        <w:rPr>
          <w:color w:val="231F20"/>
          <w:spacing w:val="14"/>
        </w:rPr>
        <w:t xml:space="preserve"> </w:t>
      </w:r>
      <w:r>
        <w:rPr>
          <w:color w:val="231F20"/>
          <w:spacing w:val="-1"/>
        </w:rPr>
        <w:t>工作（在第</w:t>
      </w:r>
      <w:r>
        <w:rPr>
          <w:color w:val="231F20"/>
          <w:spacing w:val="-26"/>
        </w:rPr>
        <w:t xml:space="preserve"> </w:t>
      </w:r>
      <w:r>
        <w:rPr>
          <w:rFonts w:ascii="Times New Roman" w:hAnsi="Times New Roman" w:eastAsia="Times New Roman" w:cs="Times New Roman"/>
          <w:color w:val="231F20"/>
          <w:spacing w:val="-1"/>
        </w:rPr>
        <w:t>8</w:t>
      </w:r>
      <w:r>
        <w:rPr>
          <w:rFonts w:ascii="Times New Roman" w:hAnsi="Times New Roman" w:eastAsia="Times New Roman" w:cs="Times New Roman"/>
          <w:color w:val="231F20"/>
          <w:spacing w:val="16"/>
        </w:rPr>
        <w:t xml:space="preserve"> </w:t>
      </w:r>
      <w:r>
        <w:rPr>
          <w:color w:val="231F20"/>
          <w:spacing w:val="-1"/>
        </w:rPr>
        <w:t>章则称为企业数据治理</w:t>
      </w:r>
      <w:r>
        <w:rPr>
          <w:color w:val="231F20"/>
          <w:spacing w:val="1"/>
        </w:rPr>
        <w:t>），</w:t>
      </w:r>
      <w:r>
        <w:rPr>
          <w:color w:val="231F20"/>
          <w:spacing w:val="-1"/>
        </w:rPr>
        <w:t>或者在不存在混淆可能性的情况下直接称为数据</w:t>
      </w:r>
      <w:r>
        <w:rPr>
          <w:color w:val="231F20"/>
        </w:rPr>
        <w:t xml:space="preserve"> </w:t>
      </w:r>
      <w:r>
        <w:rPr>
          <w:color w:val="231F20"/>
          <w:spacing w:val="-9"/>
        </w:rPr>
        <w:t>治理。</w:t>
      </w:r>
    </w:p>
    <w:p>
      <w:pPr>
        <w:spacing w:line="273" w:lineRule="auto"/>
        <w:sectPr>
          <w:footerReference w:type="default" r:id="rId55"/>
          <w:pgSz w:w="10489" w:h="14741"/>
          <w:pgMar w:top="482" w:right="1131" w:bottom="734" w:left="564" w:header="0" w:footer="552" w:gutter="0"/>
        </w:sectPr>
        <w:rPr/>
      </w:pPr>
    </w:p>
    <w:p>
      <w:pPr>
        <w:spacing w:before="41" w:line="204" w:lineRule="auto"/>
        <w:jc w:val="right"/>
        <w:rPr>
          <w:sz w:val="18"/>
          <w:szCs w:val="18"/>
        </w:rPr>
      </w:pPr>
      <w:r>
        <w:rPr>
          <w:rFonts w:ascii="Microsoft YaHei" w:hAnsi="Microsoft YaHei" w:eastAsia="Microsoft YaHei" w:cs="Microsoft YaHei"/>
          <w:sz w:val="18"/>
          <w:szCs w:val="18"/>
          <w:color w:val="4B4C4D"/>
          <w:spacing w:val="-2"/>
        </w:rPr>
        <w:t>第 </w:t>
      </w:r>
      <w:r>
        <w:rPr>
          <w:rFonts w:ascii="Arial" w:hAnsi="Arial" w:eastAsia="Arial" w:cs="Arial"/>
          <w:sz w:val="18"/>
          <w:szCs w:val="18"/>
          <w:b/>
          <w:bCs/>
          <w:color w:val="4B4C4D"/>
          <w:spacing w:val="-2"/>
        </w:rPr>
        <w:t>1 </w:t>
      </w:r>
      <w:r>
        <w:rPr>
          <w:rFonts w:ascii="Microsoft YaHei" w:hAnsi="Microsoft YaHei" w:eastAsia="Microsoft YaHei" w:cs="Microsoft YaHei"/>
          <w:sz w:val="18"/>
          <w:szCs w:val="18"/>
          <w:color w:val="4B4C4D"/>
          <w:spacing w:val="-2"/>
        </w:rPr>
        <w:t>章</w:t>
      </w:r>
      <w:r>
        <w:rPr>
          <w:rFonts w:ascii="Microsoft YaHei" w:hAnsi="Microsoft YaHei" w:eastAsia="Microsoft YaHei" w:cs="Microsoft YaHei"/>
          <w:sz w:val="18"/>
          <w:szCs w:val="18"/>
          <w:color w:val="4B4C4D"/>
          <w:spacing w:val="9"/>
        </w:rPr>
        <w:t xml:space="preserve">   </w:t>
      </w:r>
      <w:r>
        <w:rPr>
          <w:rFonts w:ascii="Microsoft YaHei" w:hAnsi="Microsoft YaHei" w:eastAsia="Microsoft YaHei" w:cs="Microsoft YaHei"/>
          <w:sz w:val="18"/>
          <w:szCs w:val="18"/>
          <w:color w:val="4B4C4D"/>
          <w:spacing w:val="-2"/>
        </w:rPr>
        <w:t>数据与数据治理  </w:t>
      </w:r>
      <w:r>
        <w:rPr>
          <w:sz w:val="18"/>
          <w:szCs w:val="18"/>
          <w:position w:val="-2"/>
        </w:rPr>
        <w:drawing>
          <wp:inline distT="0" distB="0" distL="0" distR="0">
            <wp:extent cx="339153" cy="105117"/>
            <wp:effectExtent l="0" t="0" r="0" b="0"/>
            <wp:docPr id="94" name="IM 94"/>
            <wp:cNvGraphicFramePr/>
            <a:graphic>
              <a:graphicData uri="http://schemas.openxmlformats.org/drawingml/2006/picture">
                <pic:pic>
                  <pic:nvPicPr>
                    <pic:cNvPr id="94" name="IM 94"/>
                    <pic:cNvPicPr/>
                  </pic:nvPicPr>
                  <pic:blipFill>
                    <a:blip r:embed="rId66"/>
                    <a:stretch>
                      <a:fillRect/>
                    </a:stretch>
                  </pic:blipFill>
                  <pic:spPr>
                    <a:xfrm rot="0">
                      <a:off x="0" y="0"/>
                      <a:ext cx="339153" cy="105117"/>
                    </a:xfrm>
                    <a:prstGeom prst="rect">
                      <a:avLst/>
                    </a:prstGeom>
                  </pic:spPr>
                </pic:pic>
              </a:graphicData>
            </a:graphic>
          </wp:inline>
        </w:drawing>
      </w:r>
    </w:p>
    <w:p>
      <w:pPr>
        <w:spacing w:line="306" w:lineRule="auto"/>
        <w:rPr>
          <w:rFonts w:ascii="Arial"/>
          <w:sz w:val="21"/>
        </w:rPr>
      </w:pPr>
      <w:r/>
    </w:p>
    <w:p>
      <w:pPr>
        <w:pStyle w:val="BodyText"/>
        <w:ind w:left="422"/>
        <w:spacing w:before="68" w:line="220" w:lineRule="auto"/>
        <w:rPr/>
      </w:pPr>
      <w:r>
        <w:rPr>
          <w:rFonts w:ascii="Times New Roman" w:hAnsi="Times New Roman" w:eastAsia="Times New Roman" w:cs="Times New Roman"/>
          <w:color w:val="231F20"/>
          <w:spacing w:val="-2"/>
        </w:rPr>
        <w:t>2.</w:t>
      </w:r>
      <w:r>
        <w:rPr>
          <w:rFonts w:ascii="Times New Roman" w:hAnsi="Times New Roman" w:eastAsia="Times New Roman" w:cs="Times New Roman"/>
          <w:color w:val="231F20"/>
          <w:spacing w:val="30"/>
          <w:w w:val="101"/>
        </w:rPr>
        <w:t xml:space="preserve"> </w:t>
      </w:r>
      <w:r>
        <w:rPr>
          <w:color w:val="231F20"/>
          <w:spacing w:val="-2"/>
        </w:rPr>
        <w:t>国际机构对微观层面数据治理的定义</w:t>
      </w:r>
    </w:p>
    <w:p>
      <w:pPr>
        <w:pStyle w:val="BodyText"/>
        <w:ind w:left="429"/>
        <w:spacing w:before="73" w:line="220" w:lineRule="auto"/>
        <w:rPr/>
      </w:pPr>
      <w:r>
        <w:rPr>
          <w:color w:val="231F20"/>
          <w:spacing w:val="-1"/>
        </w:rPr>
        <w:t>纵观国际各个机构对数据治理的研究，其对数据</w:t>
      </w:r>
      <w:r>
        <w:rPr>
          <w:color w:val="231F20"/>
          <w:spacing w:val="-2"/>
        </w:rPr>
        <w:t>治理的定义存在差异。</w:t>
      </w:r>
    </w:p>
    <w:p>
      <w:pPr>
        <w:pStyle w:val="BodyText"/>
        <w:ind w:right="642" w:firstLine="326"/>
        <w:spacing w:before="73" w:line="272" w:lineRule="auto"/>
        <w:rPr/>
      </w:pPr>
      <w:r>
        <w:rPr>
          <w:color w:val="231F20"/>
          <w:spacing w:val="3"/>
        </w:rPr>
        <w:t>（</w:t>
      </w:r>
      <w:r>
        <w:rPr>
          <w:rFonts w:ascii="Times New Roman" w:hAnsi="Times New Roman" w:eastAsia="Times New Roman" w:cs="Times New Roman"/>
          <w:color w:val="231F20"/>
          <w:spacing w:val="3"/>
        </w:rPr>
        <w:t>1</w:t>
      </w:r>
      <w:r>
        <w:rPr>
          <w:color w:val="231F20"/>
          <w:spacing w:val="3"/>
        </w:rPr>
        <w:t>）国际电工委员会（</w:t>
      </w:r>
      <w:r>
        <w:rPr>
          <w:rFonts w:ascii="Times New Roman" w:hAnsi="Times New Roman" w:eastAsia="Times New Roman" w:cs="Times New Roman"/>
          <w:color w:val="231F20"/>
        </w:rPr>
        <w:t>International</w:t>
      </w:r>
      <w:r>
        <w:rPr>
          <w:rFonts w:ascii="Times New Roman" w:hAnsi="Times New Roman" w:eastAsia="Times New Roman" w:cs="Times New Roman"/>
          <w:color w:val="231F20"/>
          <w:spacing w:val="24"/>
        </w:rPr>
        <w:t xml:space="preserve"> </w:t>
      </w:r>
      <w:r>
        <w:rPr>
          <w:rFonts w:ascii="Times New Roman" w:hAnsi="Times New Roman" w:eastAsia="Times New Roman" w:cs="Times New Roman"/>
          <w:color w:val="231F20"/>
        </w:rPr>
        <w:t>Electrotechnical</w:t>
      </w:r>
      <w:r>
        <w:rPr>
          <w:rFonts w:ascii="Times New Roman" w:hAnsi="Times New Roman" w:eastAsia="Times New Roman" w:cs="Times New Roman"/>
          <w:color w:val="231F20"/>
          <w:spacing w:val="24"/>
          <w:w w:val="101"/>
        </w:rPr>
        <w:t xml:space="preserve"> </w:t>
      </w:r>
      <w:r>
        <w:rPr>
          <w:rFonts w:ascii="Times New Roman" w:hAnsi="Times New Roman" w:eastAsia="Times New Roman" w:cs="Times New Roman"/>
          <w:color w:val="231F20"/>
        </w:rPr>
        <w:t>Commission</w:t>
      </w:r>
      <w:r>
        <w:rPr>
          <w:rFonts w:ascii="Times New Roman" w:hAnsi="Times New Roman" w:eastAsia="Times New Roman" w:cs="Times New Roman"/>
          <w:color w:val="231F20"/>
          <w:spacing w:val="-30"/>
        </w:rPr>
        <w:t xml:space="preserve"> </w:t>
      </w:r>
      <w:r>
        <w:rPr>
          <w:color w:val="231F20"/>
          <w:spacing w:val="3"/>
        </w:rPr>
        <w:t>，</w:t>
      </w:r>
      <w:r>
        <w:rPr>
          <w:rFonts w:ascii="Times New Roman" w:hAnsi="Times New Roman" w:eastAsia="Times New Roman" w:cs="Times New Roman"/>
          <w:color w:val="231F20"/>
        </w:rPr>
        <w:t>IEC</w:t>
      </w:r>
      <w:r>
        <w:rPr>
          <w:color w:val="231F20"/>
          <w:spacing w:val="3"/>
        </w:rPr>
        <w:t>）在</w:t>
      </w:r>
      <w:r>
        <w:rPr>
          <w:color w:val="231F20"/>
          <w:spacing w:val="-35"/>
        </w:rPr>
        <w:t xml:space="preserve"> </w:t>
      </w:r>
      <w:r>
        <w:rPr>
          <w:rFonts w:ascii="Times New Roman" w:hAnsi="Times New Roman" w:eastAsia="Times New Roman" w:cs="Times New Roman"/>
          <w:color w:val="231F20"/>
        </w:rPr>
        <w:t>IS</w:t>
      </w:r>
      <w:r>
        <w:rPr>
          <w:rFonts w:ascii="Times New Roman" w:hAnsi="Times New Roman" w:eastAsia="Times New Roman" w:cs="Times New Roman"/>
          <w:color w:val="231F20"/>
          <w:spacing w:val="3"/>
        </w:rPr>
        <w:t>/</w:t>
      </w:r>
      <w:r>
        <w:rPr>
          <w:rFonts w:ascii="Times New Roman" w:hAnsi="Times New Roman" w:eastAsia="Times New Roman" w:cs="Times New Roman"/>
          <w:color w:val="231F20"/>
        </w:rPr>
        <w:t>IEC</w:t>
      </w:r>
      <w:r>
        <w:rPr>
          <w:rFonts w:ascii="Times New Roman" w:hAnsi="Times New Roman" w:eastAsia="Times New Roman" w:cs="Times New Roman"/>
          <w:color w:val="231F20"/>
          <w:spacing w:val="19"/>
          <w:w w:val="101"/>
        </w:rPr>
        <w:t xml:space="preserve"> </w:t>
      </w:r>
      <w:r>
        <w:rPr>
          <w:rFonts w:ascii="Times New Roman" w:hAnsi="Times New Roman" w:eastAsia="Times New Roman" w:cs="Times New Roman"/>
          <w:color w:val="231F20"/>
        </w:rPr>
        <w:t>TR </w:t>
      </w:r>
      <w:r>
        <w:rPr>
          <w:rFonts w:ascii="Times New Roman" w:hAnsi="Times New Roman" w:eastAsia="Times New Roman" w:cs="Times New Roman"/>
          <w:color w:val="231F20"/>
          <w:spacing w:val="12"/>
        </w:rPr>
        <w:t>38505-2:2018</w:t>
      </w:r>
      <w:r>
        <w:rPr>
          <w:color w:val="231F20"/>
          <w:spacing w:val="12"/>
        </w:rPr>
        <w:t>（</w:t>
      </w:r>
      <w:r>
        <w:rPr>
          <w:rFonts w:ascii="Times New Roman" w:hAnsi="Times New Roman" w:eastAsia="Times New Roman" w:cs="Times New Roman"/>
          <w:color w:val="231F20"/>
        </w:rPr>
        <w:t>Information</w:t>
      </w:r>
      <w:r>
        <w:rPr>
          <w:rFonts w:ascii="Times New Roman" w:hAnsi="Times New Roman" w:eastAsia="Times New Roman" w:cs="Times New Roman"/>
          <w:color w:val="231F20"/>
          <w:spacing w:val="28"/>
          <w:w w:val="101"/>
        </w:rPr>
        <w:t xml:space="preserve"> </w:t>
      </w:r>
      <w:r>
        <w:rPr>
          <w:rFonts w:ascii="Times New Roman" w:hAnsi="Times New Roman" w:eastAsia="Times New Roman" w:cs="Times New Roman"/>
          <w:color w:val="231F20"/>
        </w:rPr>
        <w:t>technology</w:t>
      </w:r>
      <w:r>
        <w:rPr>
          <w:rFonts w:ascii="Times New Roman" w:hAnsi="Times New Roman" w:eastAsia="Times New Roman" w:cs="Times New Roman"/>
          <w:color w:val="231F20"/>
          <w:spacing w:val="12"/>
        </w:rPr>
        <w:t>.</w:t>
      </w:r>
      <w:r>
        <w:rPr>
          <w:rFonts w:ascii="Times New Roman" w:hAnsi="Times New Roman" w:eastAsia="Times New Roman" w:cs="Times New Roman"/>
          <w:color w:val="231F20"/>
          <w:spacing w:val="31"/>
          <w:w w:val="101"/>
        </w:rPr>
        <w:t xml:space="preserve"> </w:t>
      </w:r>
      <w:r>
        <w:rPr>
          <w:rFonts w:ascii="Times New Roman" w:hAnsi="Times New Roman" w:eastAsia="Times New Roman" w:cs="Times New Roman"/>
          <w:color w:val="231F20"/>
        </w:rPr>
        <w:t>Governance</w:t>
      </w:r>
      <w:r>
        <w:rPr>
          <w:rFonts w:ascii="Times New Roman" w:hAnsi="Times New Roman" w:eastAsia="Times New Roman" w:cs="Times New Roman"/>
          <w:color w:val="231F20"/>
          <w:spacing w:val="31"/>
        </w:rPr>
        <w:t xml:space="preserve"> </w:t>
      </w:r>
      <w:r>
        <w:rPr>
          <w:rFonts w:ascii="Times New Roman" w:hAnsi="Times New Roman" w:eastAsia="Times New Roman" w:cs="Times New Roman"/>
          <w:color w:val="231F20"/>
        </w:rPr>
        <w:t>of</w:t>
      </w:r>
      <w:r>
        <w:rPr>
          <w:rFonts w:ascii="Times New Roman" w:hAnsi="Times New Roman" w:eastAsia="Times New Roman" w:cs="Times New Roman"/>
          <w:color w:val="231F20"/>
          <w:spacing w:val="12"/>
        </w:rPr>
        <w:t xml:space="preserve"> </w:t>
      </w:r>
      <w:r>
        <w:rPr>
          <w:rFonts w:ascii="Times New Roman" w:hAnsi="Times New Roman" w:eastAsia="Times New Roman" w:cs="Times New Roman"/>
          <w:color w:val="231F20"/>
        </w:rPr>
        <w:t>IT</w:t>
      </w:r>
      <w:r>
        <w:rPr>
          <w:rFonts w:ascii="Times New Roman" w:hAnsi="Times New Roman" w:eastAsia="Times New Roman" w:cs="Times New Roman"/>
          <w:color w:val="231F20"/>
          <w:spacing w:val="12"/>
        </w:rPr>
        <w:t>.</w:t>
      </w:r>
      <w:r>
        <w:rPr>
          <w:rFonts w:ascii="Times New Roman" w:hAnsi="Times New Roman" w:eastAsia="Times New Roman" w:cs="Times New Roman"/>
          <w:color w:val="231F20"/>
          <w:spacing w:val="31"/>
          <w:w w:val="101"/>
        </w:rPr>
        <w:t xml:space="preserve"> </w:t>
      </w:r>
      <w:r>
        <w:rPr>
          <w:rFonts w:ascii="Times New Roman" w:hAnsi="Times New Roman" w:eastAsia="Times New Roman" w:cs="Times New Roman"/>
          <w:color w:val="231F20"/>
        </w:rPr>
        <w:t>Governance</w:t>
      </w:r>
      <w:r>
        <w:rPr>
          <w:rFonts w:ascii="Times New Roman" w:hAnsi="Times New Roman" w:eastAsia="Times New Roman" w:cs="Times New Roman"/>
          <w:color w:val="231F20"/>
          <w:spacing w:val="31"/>
        </w:rPr>
        <w:t xml:space="preserve"> </w:t>
      </w:r>
      <w:r>
        <w:rPr>
          <w:rFonts w:ascii="Times New Roman" w:hAnsi="Times New Roman" w:eastAsia="Times New Roman" w:cs="Times New Roman"/>
          <w:color w:val="231F20"/>
        </w:rPr>
        <w:t>of</w:t>
      </w:r>
      <w:r>
        <w:rPr>
          <w:rFonts w:ascii="Times New Roman" w:hAnsi="Times New Roman" w:eastAsia="Times New Roman" w:cs="Times New Roman"/>
          <w:color w:val="231F20"/>
          <w:spacing w:val="12"/>
        </w:rPr>
        <w:t xml:space="preserve"> </w:t>
      </w:r>
      <w:r>
        <w:rPr>
          <w:rFonts w:ascii="Times New Roman" w:hAnsi="Times New Roman" w:eastAsia="Times New Roman" w:cs="Times New Roman"/>
          <w:color w:val="231F20"/>
        </w:rPr>
        <w:t>data</w:t>
      </w:r>
      <w:r>
        <w:rPr>
          <w:rFonts w:ascii="Times New Roman" w:hAnsi="Times New Roman" w:eastAsia="Times New Roman" w:cs="Times New Roman"/>
          <w:color w:val="231F20"/>
          <w:spacing w:val="12"/>
        </w:rPr>
        <w:t>-</w:t>
      </w:r>
      <w:r>
        <w:rPr>
          <w:rFonts w:ascii="Times New Roman" w:hAnsi="Times New Roman" w:eastAsia="Times New Roman" w:cs="Times New Roman"/>
          <w:color w:val="231F20"/>
        </w:rPr>
        <w:t>Implications </w:t>
      </w:r>
      <w:r>
        <w:rPr>
          <w:rFonts w:ascii="Times New Roman" w:hAnsi="Times New Roman" w:eastAsia="Times New Roman" w:cs="Times New Roman"/>
          <w:color w:val="231F20"/>
          <w:spacing w:val="-1"/>
        </w:rPr>
        <w:t>of ISO/IEC</w:t>
      </w:r>
      <w:r>
        <w:rPr>
          <w:rFonts w:ascii="Times New Roman" w:hAnsi="Times New Roman" w:eastAsia="Times New Roman" w:cs="Times New Roman"/>
          <w:color w:val="231F20"/>
          <w:spacing w:val="36"/>
          <w:w w:val="101"/>
        </w:rPr>
        <w:t xml:space="preserve"> </w:t>
      </w:r>
      <w:r>
        <w:rPr>
          <w:rFonts w:ascii="Times New Roman" w:hAnsi="Times New Roman" w:eastAsia="Times New Roman" w:cs="Times New Roman"/>
          <w:color w:val="231F20"/>
          <w:spacing w:val="-1"/>
        </w:rPr>
        <w:t>38505-1</w:t>
      </w:r>
      <w:r>
        <w:rPr>
          <w:rFonts w:ascii="Times New Roman" w:hAnsi="Times New Roman" w:eastAsia="Times New Roman" w:cs="Times New Roman"/>
          <w:color w:val="231F20"/>
          <w:spacing w:val="25"/>
          <w:w w:val="101"/>
        </w:rPr>
        <w:t xml:space="preserve"> </w:t>
      </w:r>
      <w:r>
        <w:rPr>
          <w:rFonts w:ascii="Times New Roman" w:hAnsi="Times New Roman" w:eastAsia="Times New Roman" w:cs="Times New Roman"/>
          <w:color w:val="231F20"/>
          <w:spacing w:val="-1"/>
        </w:rPr>
        <w:t>for</w:t>
      </w:r>
      <w:r>
        <w:rPr>
          <w:rFonts w:ascii="Times New Roman" w:hAnsi="Times New Roman" w:eastAsia="Times New Roman" w:cs="Times New Roman"/>
          <w:color w:val="231F20"/>
          <w:spacing w:val="23"/>
        </w:rPr>
        <w:t xml:space="preserve"> </w:t>
      </w:r>
      <w:r>
        <w:rPr>
          <w:rFonts w:ascii="Times New Roman" w:hAnsi="Times New Roman" w:eastAsia="Times New Roman" w:cs="Times New Roman"/>
          <w:color w:val="231F20"/>
          <w:spacing w:val="-1"/>
        </w:rPr>
        <w:t>data</w:t>
      </w:r>
      <w:r>
        <w:rPr>
          <w:rFonts w:ascii="Times New Roman" w:hAnsi="Times New Roman" w:eastAsia="Times New Roman" w:cs="Times New Roman"/>
          <w:color w:val="231F20"/>
          <w:spacing w:val="19"/>
        </w:rPr>
        <w:t xml:space="preserve"> </w:t>
      </w:r>
      <w:r>
        <w:rPr>
          <w:rFonts w:ascii="Times New Roman" w:hAnsi="Times New Roman" w:eastAsia="Times New Roman" w:cs="Times New Roman"/>
          <w:color w:val="231F20"/>
          <w:spacing w:val="-1"/>
        </w:rPr>
        <w:t>management</w:t>
      </w:r>
      <w:r>
        <w:rPr>
          <w:color w:val="231F20"/>
          <w:spacing w:val="-1"/>
        </w:rPr>
        <w:t>，信息技术</w:t>
      </w:r>
      <w:r>
        <w:rPr>
          <w:color w:val="231F20"/>
          <w:spacing w:val="-30"/>
        </w:rPr>
        <w:t xml:space="preserve"> </w:t>
      </w:r>
      <w:r>
        <w:rPr>
          <w:rFonts w:ascii="Times New Roman" w:hAnsi="Times New Roman" w:eastAsia="Times New Roman" w:cs="Times New Roman"/>
          <w:color w:val="231F20"/>
          <w:spacing w:val="-1"/>
        </w:rPr>
        <w:t>IT</w:t>
      </w:r>
      <w:r>
        <w:rPr>
          <w:rFonts w:ascii="Times New Roman" w:hAnsi="Times New Roman" w:eastAsia="Times New Roman" w:cs="Times New Roman"/>
          <w:color w:val="231F20"/>
          <w:spacing w:val="13"/>
        </w:rPr>
        <w:t xml:space="preserve"> </w:t>
      </w:r>
      <w:r>
        <w:rPr>
          <w:color w:val="231F20"/>
          <w:spacing w:val="-1"/>
        </w:rPr>
        <w:t>治理 数据治理</w:t>
      </w:r>
      <w:r>
        <w:rPr>
          <w:color w:val="231F20"/>
          <w:spacing w:val="-19"/>
        </w:rPr>
        <w:t xml:space="preserve"> </w:t>
      </w:r>
      <w:r>
        <w:rPr>
          <w:color w:val="231F20"/>
          <w:spacing w:val="-1"/>
        </w:rPr>
        <w:t>第</w:t>
      </w:r>
      <w:r>
        <w:rPr>
          <w:color w:val="231F20"/>
          <w:spacing w:val="-48"/>
        </w:rPr>
        <w:t xml:space="preserve"> </w:t>
      </w:r>
      <w:r>
        <w:rPr>
          <w:rFonts w:ascii="Times New Roman" w:hAnsi="Times New Roman" w:eastAsia="Times New Roman" w:cs="Times New Roman"/>
          <w:color w:val="231F20"/>
          <w:spacing w:val="-1"/>
        </w:rPr>
        <w:t>2 </w:t>
      </w:r>
      <w:r>
        <w:rPr>
          <w:color w:val="231F20"/>
          <w:spacing w:val="-1"/>
        </w:rPr>
        <w:t>部分：</w:t>
      </w:r>
      <w:r>
        <w:rPr>
          <w:rFonts w:ascii="Times New Roman" w:hAnsi="Times New Roman" w:eastAsia="Times New Roman" w:cs="Times New Roman"/>
          <w:color w:val="231F20"/>
          <w:spacing w:val="-1"/>
        </w:rPr>
        <w:t>ISO/IEC</w:t>
      </w:r>
      <w:r>
        <w:rPr>
          <w:rFonts w:ascii="Times New Roman" w:hAnsi="Times New Roman" w:eastAsia="Times New Roman" w:cs="Times New Roman"/>
          <w:color w:val="231F20"/>
        </w:rPr>
        <w:t xml:space="preserve"> </w:t>
      </w:r>
      <w:r>
        <w:rPr>
          <w:rFonts w:ascii="Times New Roman" w:hAnsi="Times New Roman" w:eastAsia="Times New Roman" w:cs="Times New Roman"/>
          <w:color w:val="231F20"/>
          <w:spacing w:val="2"/>
        </w:rPr>
        <w:t>38505-1</w:t>
      </w:r>
      <w:r>
        <w:rPr>
          <w:rFonts w:ascii="Times New Roman" w:hAnsi="Times New Roman" w:eastAsia="Times New Roman" w:cs="Times New Roman"/>
          <w:color w:val="231F20"/>
          <w:spacing w:val="28"/>
          <w:w w:val="101"/>
        </w:rPr>
        <w:t xml:space="preserve"> </w:t>
      </w:r>
      <w:r>
        <w:rPr>
          <w:color w:val="231F20"/>
          <w:spacing w:val="2"/>
        </w:rPr>
        <w:t>对数据管理的影响）中对数据治理的定</w:t>
      </w:r>
      <w:r>
        <w:rPr>
          <w:color w:val="231F20"/>
          <w:spacing w:val="1"/>
        </w:rPr>
        <w:t>义。数据治理是关于数据采集、存储、利</w:t>
      </w:r>
      <w:r>
        <w:rPr>
          <w:color w:val="231F20"/>
        </w:rPr>
        <w:t xml:space="preserve"> </w:t>
      </w:r>
      <w:r>
        <w:rPr>
          <w:color w:val="231F20"/>
          <w:spacing w:val="-3"/>
        </w:rPr>
        <w:t>用、分发、销毁过程的活动的集合。</w:t>
      </w:r>
    </w:p>
    <w:p>
      <w:pPr>
        <w:pStyle w:val="BodyText"/>
        <w:ind w:left="1" w:right="587" w:firstLine="325"/>
        <w:spacing w:before="72" w:line="269" w:lineRule="auto"/>
        <w:rPr/>
      </w:pPr>
      <w:r>
        <w:rPr>
          <w:color w:val="231F20"/>
          <w:spacing w:val="2"/>
        </w:rPr>
        <w:t>（</w:t>
      </w:r>
      <w:r>
        <w:rPr>
          <w:rFonts w:ascii="Times New Roman" w:hAnsi="Times New Roman" w:eastAsia="Times New Roman" w:cs="Times New Roman"/>
          <w:color w:val="231F20"/>
          <w:spacing w:val="2"/>
        </w:rPr>
        <w:t>2</w:t>
      </w:r>
      <w:r>
        <w:rPr>
          <w:color w:val="231F20"/>
          <w:spacing w:val="2"/>
        </w:rPr>
        <w:t>）全国信息技术标准化技术委员会在</w:t>
      </w:r>
      <w:r>
        <w:rPr>
          <w:color w:val="231F20"/>
          <w:spacing w:val="-34"/>
        </w:rPr>
        <w:t xml:space="preserve"> </w:t>
      </w:r>
      <w:r>
        <w:rPr>
          <w:rFonts w:ascii="Times New Roman" w:hAnsi="Times New Roman" w:eastAsia="Times New Roman" w:cs="Times New Roman"/>
          <w:color w:val="231F20"/>
        </w:rPr>
        <w:t>GB</w:t>
      </w:r>
      <w:r>
        <w:rPr>
          <w:rFonts w:ascii="Times New Roman" w:hAnsi="Times New Roman" w:eastAsia="Times New Roman" w:cs="Times New Roman"/>
          <w:color w:val="231F20"/>
          <w:spacing w:val="2"/>
        </w:rPr>
        <w:t>/T</w:t>
      </w:r>
      <w:r>
        <w:rPr>
          <w:rFonts w:ascii="Times New Roman" w:hAnsi="Times New Roman" w:eastAsia="Times New Roman" w:cs="Times New Roman"/>
          <w:color w:val="231F20"/>
          <w:spacing w:val="22"/>
        </w:rPr>
        <w:t xml:space="preserve"> </w:t>
      </w:r>
      <w:r>
        <w:rPr>
          <w:rFonts w:ascii="Times New Roman" w:hAnsi="Times New Roman" w:eastAsia="Times New Roman" w:cs="Times New Roman"/>
          <w:color w:val="231F20"/>
          <w:spacing w:val="2"/>
        </w:rPr>
        <w:t>349</w:t>
      </w:r>
      <w:r>
        <w:rPr>
          <w:rFonts w:ascii="Times New Roman" w:hAnsi="Times New Roman" w:eastAsia="Times New Roman" w:cs="Times New Roman"/>
          <w:color w:val="231F20"/>
          <w:spacing w:val="1"/>
        </w:rPr>
        <w:t>60.5</w:t>
      </w:r>
      <w:r>
        <w:rPr>
          <w:color w:val="231F20"/>
          <w:spacing w:val="1"/>
        </w:rPr>
        <w:t>—</w:t>
      </w:r>
      <w:r>
        <w:rPr>
          <w:rFonts w:ascii="Times New Roman" w:hAnsi="Times New Roman" w:eastAsia="Times New Roman" w:cs="Times New Roman"/>
          <w:color w:val="231F20"/>
          <w:spacing w:val="1"/>
        </w:rPr>
        <w:t>2018</w:t>
      </w:r>
      <w:r>
        <w:rPr>
          <w:color w:val="231F20"/>
          <w:spacing w:val="1"/>
        </w:rPr>
        <w:t>（</w:t>
      </w:r>
      <w:r>
        <w:rPr>
          <w:rFonts w:ascii="Times New Roman" w:hAnsi="Times New Roman" w:eastAsia="Times New Roman" w:cs="Times New Roman"/>
          <w:color w:val="231F20"/>
        </w:rPr>
        <w:t>Information</w:t>
      </w:r>
      <w:r>
        <w:rPr>
          <w:rFonts w:ascii="Times New Roman" w:hAnsi="Times New Roman" w:eastAsia="Times New Roman" w:cs="Times New Roman"/>
          <w:color w:val="231F20"/>
          <w:spacing w:val="19"/>
          <w:w w:val="101"/>
        </w:rPr>
        <w:t xml:space="preserve"> </w:t>
      </w:r>
      <w:r>
        <w:rPr>
          <w:rFonts w:ascii="Times New Roman" w:hAnsi="Times New Roman" w:eastAsia="Times New Roman" w:cs="Times New Roman"/>
          <w:color w:val="231F20"/>
        </w:rPr>
        <w:t>technology  </w:t>
      </w:r>
      <w:r>
        <w:rPr>
          <w:rFonts w:ascii="Times New Roman" w:hAnsi="Times New Roman" w:eastAsia="Times New Roman" w:cs="Times New Roman"/>
          <w:color w:val="231F20"/>
          <w:spacing w:val="-1"/>
        </w:rPr>
        <w:t>service-Governance-Part</w:t>
      </w:r>
      <w:r>
        <w:rPr>
          <w:rFonts w:ascii="Times New Roman" w:hAnsi="Times New Roman" w:eastAsia="Times New Roman" w:cs="Times New Roman"/>
          <w:color w:val="231F20"/>
          <w:spacing w:val="27"/>
        </w:rPr>
        <w:t xml:space="preserve"> </w:t>
      </w:r>
      <w:r>
        <w:rPr>
          <w:rFonts w:ascii="Times New Roman" w:hAnsi="Times New Roman" w:eastAsia="Times New Roman" w:cs="Times New Roman"/>
          <w:color w:val="231F20"/>
          <w:spacing w:val="-1"/>
        </w:rPr>
        <w:t>5:</w:t>
      </w:r>
      <w:r>
        <w:rPr>
          <w:rFonts w:ascii="Times New Roman" w:hAnsi="Times New Roman" w:eastAsia="Times New Roman" w:cs="Times New Roman"/>
          <w:color w:val="231F20"/>
          <w:spacing w:val="30"/>
          <w:w w:val="101"/>
        </w:rPr>
        <w:t xml:space="preserve"> </w:t>
      </w:r>
      <w:r>
        <w:rPr>
          <w:rFonts w:ascii="Times New Roman" w:hAnsi="Times New Roman" w:eastAsia="Times New Roman" w:cs="Times New Roman"/>
          <w:color w:val="231F20"/>
          <w:spacing w:val="-1"/>
        </w:rPr>
        <w:t>Speciﬁcation</w:t>
      </w:r>
      <w:r>
        <w:rPr>
          <w:rFonts w:ascii="Times New Roman" w:hAnsi="Times New Roman" w:eastAsia="Times New Roman" w:cs="Times New Roman"/>
          <w:color w:val="231F20"/>
          <w:spacing w:val="24"/>
        </w:rPr>
        <w:t xml:space="preserve"> </w:t>
      </w:r>
      <w:r>
        <w:rPr>
          <w:rFonts w:ascii="Times New Roman" w:hAnsi="Times New Roman" w:eastAsia="Times New Roman" w:cs="Times New Roman"/>
          <w:color w:val="231F20"/>
          <w:spacing w:val="-1"/>
        </w:rPr>
        <w:t>of data</w:t>
      </w:r>
      <w:r>
        <w:rPr>
          <w:rFonts w:ascii="Times New Roman" w:hAnsi="Times New Roman" w:eastAsia="Times New Roman" w:cs="Times New Roman"/>
          <w:color w:val="231F20"/>
          <w:spacing w:val="23"/>
          <w:w w:val="101"/>
        </w:rPr>
        <w:t xml:space="preserve"> </w:t>
      </w:r>
      <w:r>
        <w:rPr>
          <w:rFonts w:ascii="Times New Roman" w:hAnsi="Times New Roman" w:eastAsia="Times New Roman" w:cs="Times New Roman"/>
          <w:color w:val="231F20"/>
          <w:spacing w:val="-1"/>
        </w:rPr>
        <w:t>governance</w:t>
      </w:r>
      <w:r>
        <w:rPr>
          <w:color w:val="231F20"/>
          <w:spacing w:val="-1"/>
        </w:rPr>
        <w:t>，信息技术服务</w:t>
      </w:r>
      <w:r>
        <w:rPr>
          <w:color w:val="231F20"/>
          <w:spacing w:val="-2"/>
        </w:rPr>
        <w:t xml:space="preserve"> 治理</w:t>
      </w:r>
      <w:r>
        <w:rPr>
          <w:color w:val="231F20"/>
          <w:spacing w:val="-21"/>
        </w:rPr>
        <w:t xml:space="preserve"> </w:t>
      </w:r>
      <w:r>
        <w:rPr>
          <w:color w:val="231F20"/>
          <w:spacing w:val="-2"/>
        </w:rPr>
        <w:t>第</w:t>
      </w:r>
      <w:r>
        <w:rPr>
          <w:color w:val="231F20"/>
          <w:spacing w:val="-43"/>
        </w:rPr>
        <w:t xml:space="preserve"> </w:t>
      </w:r>
      <w:r>
        <w:rPr>
          <w:rFonts w:ascii="Times New Roman" w:hAnsi="Times New Roman" w:eastAsia="Times New Roman" w:cs="Times New Roman"/>
          <w:color w:val="231F20"/>
          <w:spacing w:val="-2"/>
        </w:rPr>
        <w:t>5 </w:t>
      </w:r>
      <w:r>
        <w:rPr>
          <w:color w:val="231F20"/>
          <w:spacing w:val="-2"/>
        </w:rPr>
        <w:t>部分：</w:t>
      </w:r>
      <w:r>
        <w:rPr>
          <w:color w:val="231F20"/>
        </w:rPr>
        <w:t xml:space="preserve"> </w:t>
      </w:r>
      <w:r>
        <w:rPr>
          <w:color w:val="231F20"/>
        </w:rPr>
        <w:t>数据治理规范）中对数据治理的定义。数据治理是数据资源及其在应用过程中相关管控活</w:t>
      </w:r>
      <w:r>
        <w:rPr>
          <w:color w:val="231F20"/>
          <w:spacing w:val="12"/>
        </w:rPr>
        <w:t xml:space="preserve"> </w:t>
      </w:r>
      <w:r>
        <w:rPr>
          <w:color w:val="231F20"/>
          <w:spacing w:val="-3"/>
        </w:rPr>
        <w:t>动、绩效和风险管理的集合。</w:t>
      </w:r>
    </w:p>
    <w:p>
      <w:pPr>
        <w:pStyle w:val="BodyText"/>
        <w:ind w:left="2" w:right="569" w:firstLine="324"/>
        <w:spacing w:before="73" w:line="253" w:lineRule="auto"/>
        <w:rPr/>
      </w:pPr>
      <w:r>
        <w:rPr>
          <w:color w:val="231F20"/>
          <w:spacing w:val="-1"/>
        </w:rPr>
        <w:t>（</w:t>
      </w:r>
      <w:r>
        <w:rPr>
          <w:rFonts w:ascii="Times New Roman" w:hAnsi="Times New Roman" w:eastAsia="Times New Roman" w:cs="Times New Roman"/>
          <w:color w:val="231F20"/>
          <w:spacing w:val="-1"/>
        </w:rPr>
        <w:t>3</w:t>
      </w:r>
      <w:r>
        <w:rPr>
          <w:color w:val="231F20"/>
          <w:spacing w:val="-1"/>
        </w:rPr>
        <w:t>）国际数据管理协会（</w:t>
      </w:r>
      <w:r>
        <w:rPr>
          <w:rFonts w:ascii="Times New Roman" w:hAnsi="Times New Roman" w:eastAsia="Times New Roman" w:cs="Times New Roman"/>
          <w:color w:val="231F20"/>
          <w:spacing w:val="-1"/>
        </w:rPr>
        <w:t>Data Management Interna</w:t>
      </w:r>
      <w:r>
        <w:rPr>
          <w:rFonts w:ascii="Times New Roman" w:hAnsi="Times New Roman" w:eastAsia="Times New Roman" w:cs="Times New Roman"/>
          <w:color w:val="231F20"/>
          <w:spacing w:val="-2"/>
        </w:rPr>
        <w:t>tional</w:t>
      </w:r>
      <w:r>
        <w:rPr>
          <w:color w:val="231F20"/>
          <w:spacing w:val="-2"/>
        </w:rPr>
        <w:t>，</w:t>
      </w:r>
      <w:r>
        <w:rPr>
          <w:rFonts w:ascii="Times New Roman" w:hAnsi="Times New Roman" w:eastAsia="Times New Roman" w:cs="Times New Roman"/>
          <w:color w:val="231F20"/>
          <w:spacing w:val="-2"/>
        </w:rPr>
        <w:t>DAMA</w:t>
      </w:r>
      <w:r>
        <w:rPr>
          <w:color w:val="231F20"/>
          <w:spacing w:val="-2"/>
        </w:rPr>
        <w:t>）对数据治理的定义。</w:t>
      </w:r>
      <w:r>
        <w:rPr>
          <w:color w:val="231F20"/>
        </w:rPr>
        <w:t xml:space="preserve"> </w:t>
      </w:r>
      <w:r>
        <w:rPr>
          <w:color w:val="231F20"/>
          <w:spacing w:val="-3"/>
        </w:rPr>
        <w:t>数据治理是指对数据资产管理活动行使权利和控制的活动集合（规划、监</w:t>
      </w:r>
      <w:r>
        <w:rPr>
          <w:color w:val="231F20"/>
          <w:spacing w:val="-4"/>
        </w:rPr>
        <w:t>督和执行）。</w:t>
      </w:r>
    </w:p>
    <w:p>
      <w:pPr>
        <w:pStyle w:val="BodyText"/>
        <w:ind w:right="653" w:firstLine="326"/>
        <w:spacing w:before="71" w:line="269" w:lineRule="auto"/>
        <w:rPr/>
      </w:pPr>
      <w:r>
        <w:rPr>
          <w:color w:val="231F20"/>
          <w:spacing w:val="3"/>
        </w:rPr>
        <w:t>（</w:t>
      </w:r>
      <w:r>
        <w:rPr>
          <w:rFonts w:ascii="Times New Roman" w:hAnsi="Times New Roman" w:eastAsia="Times New Roman" w:cs="Times New Roman"/>
          <w:color w:val="231F20"/>
          <w:spacing w:val="3"/>
        </w:rPr>
        <w:t>4</w:t>
      </w:r>
      <w:r>
        <w:rPr>
          <w:color w:val="231F20"/>
          <w:spacing w:val="3"/>
        </w:rPr>
        <w:t>）国际数据治理研究所（</w:t>
      </w:r>
      <w:r>
        <w:rPr>
          <w:rFonts w:ascii="Times New Roman" w:hAnsi="Times New Roman" w:eastAsia="Times New Roman" w:cs="Times New Roman"/>
          <w:color w:val="231F20"/>
        </w:rPr>
        <w:t>Data</w:t>
      </w:r>
      <w:r>
        <w:rPr>
          <w:rFonts w:ascii="Times New Roman" w:hAnsi="Times New Roman" w:eastAsia="Times New Roman" w:cs="Times New Roman"/>
          <w:color w:val="231F20"/>
          <w:spacing w:val="33"/>
          <w:w w:val="101"/>
        </w:rPr>
        <w:t xml:space="preserve"> </w:t>
      </w:r>
      <w:r>
        <w:rPr>
          <w:rFonts w:ascii="Times New Roman" w:hAnsi="Times New Roman" w:eastAsia="Times New Roman" w:cs="Times New Roman"/>
          <w:color w:val="231F20"/>
        </w:rPr>
        <w:t>Governance</w:t>
      </w:r>
      <w:r>
        <w:rPr>
          <w:rFonts w:ascii="Times New Roman" w:hAnsi="Times New Roman" w:eastAsia="Times New Roman" w:cs="Times New Roman"/>
          <w:color w:val="231F20"/>
          <w:spacing w:val="22"/>
          <w:w w:val="101"/>
        </w:rPr>
        <w:t xml:space="preserve"> </w:t>
      </w:r>
      <w:r>
        <w:rPr>
          <w:rFonts w:ascii="Times New Roman" w:hAnsi="Times New Roman" w:eastAsia="Times New Roman" w:cs="Times New Roman"/>
          <w:color w:val="231F20"/>
        </w:rPr>
        <w:t>Institute</w:t>
      </w:r>
      <w:r>
        <w:rPr>
          <w:rFonts w:ascii="Times New Roman" w:hAnsi="Times New Roman" w:eastAsia="Times New Roman" w:cs="Times New Roman"/>
          <w:color w:val="231F20"/>
          <w:spacing w:val="-30"/>
        </w:rPr>
        <w:t xml:space="preserve"> </w:t>
      </w:r>
      <w:r>
        <w:rPr>
          <w:color w:val="231F20"/>
          <w:spacing w:val="3"/>
        </w:rPr>
        <w:t>，</w:t>
      </w:r>
      <w:r>
        <w:rPr>
          <w:rFonts w:ascii="Times New Roman" w:hAnsi="Times New Roman" w:eastAsia="Times New Roman" w:cs="Times New Roman"/>
          <w:color w:val="231F20"/>
        </w:rPr>
        <w:t>DGI</w:t>
      </w:r>
      <w:r>
        <w:rPr>
          <w:color w:val="231F20"/>
          <w:spacing w:val="3"/>
        </w:rPr>
        <w:t>）对数据治理的定义。数</w:t>
      </w:r>
      <w:r>
        <w:rPr>
          <w:color w:val="231F20"/>
        </w:rPr>
        <w:t xml:space="preserve"> </w:t>
      </w:r>
      <w:r>
        <w:rPr>
          <w:color w:val="231F20"/>
        </w:rPr>
        <w:t>据治理是一个通过一系列信息相关的过程来实现决策权和职责分工的系统，这些过程按照</w:t>
      </w:r>
      <w:r>
        <w:rPr>
          <w:color w:val="231F20"/>
          <w:spacing w:val="8"/>
        </w:rPr>
        <w:t xml:space="preserve"> </w:t>
      </w:r>
      <w:r>
        <w:rPr>
          <w:color w:val="231F20"/>
        </w:rPr>
        <w:t>达成共识的模型来执行，该模型描述了谁能根据什么信息，在什么时间和情况</w:t>
      </w:r>
      <w:r>
        <w:rPr>
          <w:color w:val="231F20"/>
          <w:spacing w:val="-1"/>
        </w:rPr>
        <w:t>下，用什么</w:t>
      </w:r>
      <w:r>
        <w:rPr>
          <w:color w:val="231F20"/>
        </w:rPr>
        <w:t xml:space="preserve"> </w:t>
      </w:r>
      <w:r>
        <w:rPr>
          <w:color w:val="231F20"/>
          <w:spacing w:val="-4"/>
        </w:rPr>
        <w:t>方法，采取什么行动。</w:t>
      </w:r>
    </w:p>
    <w:p>
      <w:pPr>
        <w:pStyle w:val="BodyText"/>
        <w:ind w:right="655" w:firstLine="428"/>
        <w:spacing w:before="72" w:line="276" w:lineRule="auto"/>
        <w:rPr/>
      </w:pPr>
      <w:r>
        <w:rPr>
          <w:color w:val="231F20"/>
          <w:spacing w:val="6"/>
        </w:rPr>
        <w:t>综合分析以上各机构对数据治理的定义可以看出，微观数据治理又</w:t>
      </w:r>
      <w:r>
        <w:rPr>
          <w:color w:val="231F20"/>
          <w:spacing w:val="5"/>
        </w:rPr>
        <w:t>称为狭义数据治</w:t>
      </w:r>
      <w:r>
        <w:rPr>
          <w:color w:val="231F20"/>
        </w:rPr>
        <w:t xml:space="preserve"> </w:t>
      </w:r>
      <w:r>
        <w:rPr>
          <w:color w:val="231F20"/>
        </w:rPr>
        <w:t>理，是指为确保数据安全、私有、准确、可用和易用所执行的所有操作，包括主体必须遵</w:t>
      </w:r>
      <w:r>
        <w:rPr>
          <w:color w:val="231F20"/>
          <w:spacing w:val="10"/>
        </w:rPr>
        <w:t xml:space="preserve"> </w:t>
      </w:r>
      <w:r>
        <w:rPr>
          <w:color w:val="231F20"/>
        </w:rPr>
        <w:t>循的流程、需要采取的行动以及在整个数据生命周期中为其提供支持的技术。数据治理是</w:t>
      </w:r>
      <w:r>
        <w:rPr>
          <w:color w:val="231F20"/>
          <w:spacing w:val="11"/>
        </w:rPr>
        <w:t xml:space="preserve"> </w:t>
      </w:r>
      <w:r>
        <w:rPr>
          <w:color w:val="231F20"/>
        </w:rPr>
        <w:t>在数据生命周期（从获取、使用到处理）内对其进行管理的原则性方法。数据治理意味着</w:t>
      </w:r>
      <w:r>
        <w:rPr>
          <w:color w:val="231F20"/>
          <w:spacing w:val="9"/>
        </w:rPr>
        <w:t xml:space="preserve"> </w:t>
      </w:r>
      <w:r>
        <w:rPr>
          <w:color w:val="231F20"/>
        </w:rPr>
        <w:t>制定适用于收集、存储、处理数据的内部标准，即数据策略，对数据的访问权限、修改权</w:t>
      </w:r>
      <w:r>
        <w:rPr>
          <w:color w:val="231F20"/>
          <w:spacing w:val="11"/>
        </w:rPr>
        <w:t xml:space="preserve"> </w:t>
      </w:r>
      <w:r>
        <w:rPr>
          <w:color w:val="231F20"/>
        </w:rPr>
        <w:t>限等做出统一的规定。此外，数据治理还涉及行业协会、政府机构及其他主体设定的外部</w:t>
      </w:r>
      <w:r>
        <w:rPr>
          <w:color w:val="231F20"/>
          <w:spacing w:val="9"/>
        </w:rPr>
        <w:t xml:space="preserve"> </w:t>
      </w:r>
      <w:r>
        <w:rPr>
          <w:color w:val="231F20"/>
          <w:spacing w:val="-9"/>
        </w:rPr>
        <w:t>标准。</w:t>
      </w:r>
    </w:p>
    <w:p>
      <w:pPr>
        <w:pStyle w:val="BodyText"/>
        <w:ind w:left="1" w:right="642" w:firstLine="426"/>
        <w:spacing w:before="70" w:line="269" w:lineRule="auto"/>
        <w:rPr/>
      </w:pPr>
      <w:r>
        <w:rPr>
          <w:color w:val="231F20"/>
        </w:rPr>
        <w:t>数据治理以数据为对象，由于数据的来源、流通具有高度复杂性，因此数据治理是一</w:t>
      </w:r>
      <w:r>
        <w:rPr>
          <w:color w:val="231F20"/>
          <w:spacing w:val="16"/>
        </w:rPr>
        <w:t xml:space="preserve"> </w:t>
      </w:r>
      <w:r>
        <w:rPr>
          <w:color w:val="231F20"/>
        </w:rPr>
        <w:t>个复杂的过程，包括数据采集、归集存储、分析处理、数据产品和服务定价与分配等多个</w:t>
      </w:r>
      <w:r>
        <w:rPr>
          <w:color w:val="231F20"/>
          <w:spacing w:val="10"/>
        </w:rPr>
        <w:t xml:space="preserve"> </w:t>
      </w:r>
      <w:r>
        <w:rPr>
          <w:color w:val="231F20"/>
        </w:rPr>
        <w:t>复杂的流通环节；涉及数据生产者、数据采集者、数据管理者、数据平台运营者、数据加</w:t>
      </w:r>
      <w:r>
        <w:rPr>
          <w:color w:val="231F20"/>
          <w:spacing w:val="2"/>
        </w:rPr>
        <w:t xml:space="preserve"> </w:t>
      </w:r>
      <w:r>
        <w:rPr>
          <w:color w:val="231F20"/>
          <w:spacing w:val="-4"/>
        </w:rPr>
        <w:t>工利用者等多元参与主体（政府、市场、社会</w:t>
      </w:r>
      <w:r>
        <w:rPr>
          <w:color w:val="231F20"/>
          <w:spacing w:val="8"/>
        </w:rPr>
        <w:t>），</w:t>
      </w:r>
      <w:r>
        <w:rPr>
          <w:color w:val="231F20"/>
          <w:spacing w:val="-4"/>
        </w:rPr>
        <w:t>是一个复杂的动态变化过程。</w:t>
      </w:r>
    </w:p>
    <w:p>
      <w:pPr>
        <w:pStyle w:val="BodyText"/>
        <w:ind w:left="426"/>
        <w:spacing w:before="75" w:line="220" w:lineRule="auto"/>
        <w:rPr/>
      </w:pPr>
      <w:r>
        <w:pict>
          <v:shape id="_x0000_s102" style="position:absolute;margin-left:42.187pt;margin-top:4.17241pt;mso-position-vertical-relative:text;mso-position-horizontal-relative:text;width:9.7pt;height:9.75pt;z-index:-251555840;" filled="false" strokecolor="#231F20" strokeweight="0.17pt" coordsize="193,195" coordorigin="0,0" path="m108,187l108,173l164,173l164,191l175,184c175,172,174,155,174,133l181,128l169,118l163,125l141,125l141,92l192,92l178,78l169,87l141,87l141,70l148,65l130,57c131,67,131,77,131,87l93,87c94,74,95,62,95,52l164,52l164,62l175,57c175,49,174,37,174,21l181,17l169,6l163,13l96,13l83,5c84,17,84,36,84,62c83,89,80,112,74,132c68,152,58,170,46,186l49,188c74,163,88,131,92,92l131,92l131,125l108,125l96,119c97,129,97,141,97,154c97,168,97,180,96,192l108,187xm164,47l95,47l95,18l164,18l164,47xm164,169l108,169l108,130l164,130l164,169xm49,54l81,54l68,40l58,49l49,49l49,17l55,11l36,1c37,11,37,26,37,49l2,49l9,55l18,54l37,54l37,96c16,106,4,111,1,112l13,127c14,123,22,116,37,105l37,164c37,167,36,170,33,170c30,170,22,169,10,167l10,170c25,176,32,182,31,187c42,183,48,176,49,166l49,100l77,78l76,75l49,91l49,54xe">
            <v:stroke joinstyle="miter" miterlimit="4"/>
          </v:shape>
        </w:pict>
      </w:r>
      <w:r>
        <w:rPr>
          <w:rFonts w:ascii="Times New Roman" w:hAnsi="Times New Roman" w:eastAsia="Times New Roman" w:cs="Times New Roman"/>
          <w:color w:val="231F20"/>
          <w:spacing w:val="-1"/>
        </w:rPr>
        <w:t>3. </w:t>
      </w:r>
      <w:r>
        <w:rPr>
          <w:color w:val="231F20"/>
          <w:spacing w:val="-1"/>
        </w:rPr>
        <w:t>数据治理工作要素</w:t>
      </w:r>
    </w:p>
    <w:p>
      <w:pPr>
        <w:pStyle w:val="BodyText"/>
        <w:ind w:left="3" w:right="657" w:firstLine="424"/>
        <w:spacing w:before="74" w:line="263" w:lineRule="auto"/>
        <w:rPr/>
      </w:pPr>
      <w:r>
        <w:rPr>
          <w:color w:val="231F20"/>
          <w:spacing w:val="6"/>
        </w:rPr>
        <w:t>数据治理是一个系统工程，是一个从上至下指导，自下而上推进的工作</w:t>
      </w:r>
      <w:r>
        <w:rPr>
          <w:color w:val="231F20"/>
          <w:spacing w:val="5"/>
        </w:rPr>
        <w:t>。因此，在</w:t>
      </w:r>
      <w:r>
        <w:rPr>
          <w:color w:val="231F20"/>
        </w:rPr>
        <w:t xml:space="preserve"> </w:t>
      </w:r>
      <w:r>
        <w:rPr>
          <w:color w:val="231F20"/>
        </w:rPr>
        <w:t>指导方面必须得到大家的共识，要有强有力的组织、合理的章程、明确的流程、健</w:t>
      </w:r>
      <w:r>
        <w:rPr>
          <w:color w:val="231F20"/>
          <w:spacing w:val="-1"/>
        </w:rPr>
        <w:t>壮的系</w:t>
      </w:r>
      <w:r>
        <w:rPr>
          <w:color w:val="231F20"/>
        </w:rPr>
        <w:t xml:space="preserve"> </w:t>
      </w:r>
      <w:r>
        <w:rPr>
          <w:color w:val="231F20"/>
          <w:spacing w:val="-1"/>
        </w:rPr>
        <w:t>统，这样才能使数据治理工作得到有效的保障。数据治理工作的要素包含以</w:t>
      </w:r>
      <w:r>
        <w:rPr>
          <w:color w:val="231F20"/>
          <w:spacing w:val="-2"/>
        </w:rPr>
        <w:t>下几点。</w:t>
      </w:r>
    </w:p>
    <w:p>
      <w:pPr>
        <w:pStyle w:val="BodyText"/>
        <w:ind w:left="442"/>
        <w:spacing w:before="73" w:line="236" w:lineRule="auto"/>
        <w:rPr/>
      </w:pPr>
      <w:r>
        <w:rPr>
          <w:rFonts w:ascii="Times New Roman" w:hAnsi="Times New Roman" w:eastAsia="Times New Roman" w:cs="Times New Roman"/>
          <w:color w:val="231F20"/>
          <w:spacing w:val="-9"/>
        </w:rPr>
        <w:t>1 </w:t>
      </w:r>
      <w:r>
        <w:rPr>
          <w:color w:val="231F20"/>
          <w:spacing w:val="-9"/>
        </w:rPr>
        <w:t>）发展战略目标</w:t>
      </w:r>
    </w:p>
    <w:p>
      <w:pPr>
        <w:pStyle w:val="BodyText"/>
        <w:ind w:left="1" w:right="643" w:firstLine="434"/>
        <w:spacing w:before="58" w:line="263" w:lineRule="auto"/>
        <w:rPr/>
      </w:pPr>
      <w:r>
        <w:rPr>
          <w:color w:val="231F20"/>
        </w:rPr>
        <w:t>战略是选择和决策的集合，二者共同制定出一个高层次的行动方案，以实现更高层次</w:t>
      </w:r>
      <w:r>
        <w:rPr>
          <w:color w:val="231F20"/>
          <w:spacing w:val="7"/>
        </w:rPr>
        <w:t xml:space="preserve"> </w:t>
      </w:r>
      <w:r>
        <w:rPr>
          <w:color w:val="231F20"/>
        </w:rPr>
        <w:t>的目标。数据战略是每一个组织发展战略中的重要组成部分，是保持和提高数据质量、完</w:t>
      </w:r>
      <w:r>
        <w:rPr>
          <w:color w:val="231F20"/>
          <w:spacing w:val="8"/>
        </w:rPr>
        <w:t xml:space="preserve"> </w:t>
      </w:r>
      <w:r>
        <w:rPr>
          <w:color w:val="231F20"/>
          <w:spacing w:val="-2"/>
        </w:rPr>
        <w:t>整性、安全性的计划，是指导完成数据治理工作的最高原则。</w:t>
      </w:r>
    </w:p>
    <w:p>
      <w:pPr>
        <w:pStyle w:val="BodyText"/>
        <w:ind w:left="422"/>
        <w:spacing w:before="73" w:line="235" w:lineRule="auto"/>
        <w:rPr/>
      </w:pPr>
      <w:r>
        <w:rPr>
          <w:rFonts w:ascii="Times New Roman" w:hAnsi="Times New Roman" w:eastAsia="Times New Roman" w:cs="Times New Roman"/>
          <w:color w:val="231F20"/>
          <w:spacing w:val="-8"/>
        </w:rPr>
        <w:t>2 </w:t>
      </w:r>
      <w:r>
        <w:rPr>
          <w:color w:val="231F20"/>
          <w:spacing w:val="-8"/>
        </w:rPr>
        <w:t>）数据治理组织</w:t>
      </w:r>
    </w:p>
    <w:p>
      <w:pPr>
        <w:pStyle w:val="BodyText"/>
        <w:ind w:left="427"/>
        <w:spacing w:before="57" w:line="220" w:lineRule="auto"/>
        <w:rPr/>
      </w:pPr>
      <w:r>
        <w:rPr>
          <w:color w:val="231F20"/>
        </w:rPr>
        <w:t>数据治理的组织包括制度组织和服务组织。制度组织主要负责数据治</w:t>
      </w:r>
      <w:r>
        <w:rPr>
          <w:color w:val="231F20"/>
          <w:spacing w:val="-1"/>
        </w:rPr>
        <w:t>理和数据管理制</w:t>
      </w:r>
    </w:p>
    <w:p>
      <w:pPr>
        <w:spacing w:line="220" w:lineRule="auto"/>
        <w:sectPr>
          <w:footerReference w:type="default" r:id="rId65"/>
          <w:pgSz w:w="10489" w:h="14741"/>
          <w:pgMar w:top="679" w:right="489" w:bottom="734" w:left="1140" w:header="0" w:footer="552" w:gutter="0"/>
        </w:sectPr>
        <w:rPr/>
      </w:pPr>
    </w:p>
    <w:p>
      <w:pPr>
        <w:spacing w:before="78" w:line="215" w:lineRule="auto"/>
        <w:rPr>
          <w:rFonts w:ascii="Microsoft YaHei" w:hAnsi="Microsoft YaHei" w:eastAsia="Microsoft YaHei" w:cs="Microsoft YaHei"/>
          <w:sz w:val="18"/>
          <w:szCs w:val="18"/>
        </w:rPr>
      </w:pPr>
      <w:r>
        <w:drawing>
          <wp:anchor distT="0" distB="0" distL="0" distR="0" simplePos="0" relativeHeight="251770880" behindDoc="1" locked="0" layoutInCell="1" allowOverlap="1">
            <wp:simplePos x="0" y="0"/>
            <wp:positionH relativeFrom="column">
              <wp:posOffset>108299</wp:posOffset>
            </wp:positionH>
            <wp:positionV relativeFrom="paragraph">
              <wp:posOffset>79371</wp:posOffset>
            </wp:positionV>
            <wp:extent cx="83329" cy="46985"/>
            <wp:effectExtent l="0" t="0" r="0" b="0"/>
            <wp:wrapNone/>
            <wp:docPr id="96" name="IM 96"/>
            <wp:cNvGraphicFramePr/>
            <a:graphic>
              <a:graphicData uri="http://schemas.openxmlformats.org/drawingml/2006/picture">
                <pic:pic>
                  <pic:nvPicPr>
                    <pic:cNvPr id="96" name="IM 96"/>
                    <pic:cNvPicPr/>
                  </pic:nvPicPr>
                  <pic:blipFill>
                    <a:blip r:embed="rId68"/>
                    <a:stretch>
                      <a:fillRect/>
                    </a:stretch>
                  </pic:blipFill>
                  <pic:spPr>
                    <a:xfrm rot="0">
                      <a:off x="0" y="0"/>
                      <a:ext cx="83329" cy="46985"/>
                    </a:xfrm>
                    <a:prstGeom prst="rect">
                      <a:avLst/>
                    </a:prstGeom>
                  </pic:spPr>
                </pic:pic>
              </a:graphicData>
            </a:graphic>
          </wp:anchor>
        </w:drawing>
      </w:r>
      <w:r>
        <w:drawing>
          <wp:anchor distT="0" distB="0" distL="0" distR="0" simplePos="0" relativeHeight="251769856" behindDoc="1" locked="0" layoutInCell="1" allowOverlap="1">
            <wp:simplePos x="0" y="0"/>
            <wp:positionH relativeFrom="column">
              <wp:posOffset>38548</wp:posOffset>
            </wp:positionH>
            <wp:positionV relativeFrom="paragraph">
              <wp:posOffset>120488</wp:posOffset>
            </wp:positionV>
            <wp:extent cx="153080" cy="75618"/>
            <wp:effectExtent l="0" t="0" r="0" b="0"/>
            <wp:wrapNone/>
            <wp:docPr id="98" name="IM 98"/>
            <wp:cNvGraphicFramePr/>
            <a:graphic>
              <a:graphicData uri="http://schemas.openxmlformats.org/drawingml/2006/picture">
                <pic:pic>
                  <pic:nvPicPr>
                    <pic:cNvPr id="98" name="IM 98"/>
                    <pic:cNvPicPr/>
                  </pic:nvPicPr>
                  <pic:blipFill>
                    <a:blip r:embed="rId69"/>
                    <a:stretch>
                      <a:fillRect/>
                    </a:stretch>
                  </pic:blipFill>
                  <pic:spPr>
                    <a:xfrm rot="0">
                      <a:off x="0" y="0"/>
                      <a:ext cx="153080" cy="75618"/>
                    </a:xfrm>
                    <a:prstGeom prst="rect">
                      <a:avLst/>
                    </a:prstGeom>
                  </pic:spPr>
                </pic:pic>
              </a:graphicData>
            </a:graphic>
          </wp:anchor>
        </w:drawing>
      </w:r>
      <w:r>
        <w:rPr>
          <w:rFonts w:ascii="Microsoft YaHei" w:hAnsi="Microsoft YaHei" w:eastAsia="Microsoft YaHei" w:cs="Microsoft YaHei"/>
          <w:sz w:val="18"/>
          <w:szCs w:val="18"/>
          <w:color w:val="D9D9D9"/>
          <w:position w:val="-5"/>
        </w:rPr>
        <w:drawing>
          <wp:inline distT="0" distB="0" distL="0" distR="0">
            <wp:extent cx="369303" cy="250002"/>
            <wp:effectExtent l="0" t="0" r="0" b="0"/>
            <wp:docPr id="100" name="IM 100"/>
            <wp:cNvGraphicFramePr/>
            <a:graphic>
              <a:graphicData uri="http://schemas.openxmlformats.org/drawingml/2006/picture">
                <pic:pic>
                  <pic:nvPicPr>
                    <pic:cNvPr id="100" name="IM 100"/>
                    <pic:cNvPicPr/>
                  </pic:nvPicPr>
                  <pic:blipFill>
                    <a:blip r:embed="rId70"/>
                    <a:stretch>
                      <a:fillRect/>
                    </a:stretch>
                  </pic:blipFill>
                  <pic:spPr>
                    <a:xfrm rot="0">
                      <a:off x="0" y="0"/>
                      <a:ext cx="369303" cy="250002"/>
                    </a:xfrm>
                    <a:prstGeom prst="rect">
                      <a:avLst/>
                    </a:prstGeom>
                  </pic:spPr>
                </pic:pic>
              </a:graphicData>
            </a:graphic>
          </wp:inline>
        </w:drawing>
      </w:r>
      <w:r>
        <w:rPr>
          <w:rFonts w:ascii="Microsoft YaHei" w:hAnsi="Microsoft YaHei" w:eastAsia="Microsoft YaHei" w:cs="Microsoft YaHei"/>
          <w:sz w:val="18"/>
          <w:szCs w:val="18"/>
          <w:color w:val="D9D9D9"/>
          <w:spacing w:val="49"/>
        </w:rPr>
        <w:t xml:space="preserve"> </w:t>
      </w:r>
      <w:r>
        <w:rPr>
          <w:rFonts w:ascii="Microsoft YaHei" w:hAnsi="Microsoft YaHei" w:eastAsia="Microsoft YaHei" w:cs="Microsoft YaHei"/>
          <w:sz w:val="18"/>
          <w:szCs w:val="18"/>
          <w:color w:val="D9D9D9"/>
          <w:spacing w:val="2"/>
        </w:rPr>
        <w:t>数据治理</w:t>
      </w:r>
      <w:r>
        <w:rPr>
          <w:rFonts w:ascii="Microsoft YaHei" w:hAnsi="Microsoft YaHei" w:eastAsia="Microsoft YaHei" w:cs="Microsoft YaHei"/>
          <w:sz w:val="18"/>
          <w:szCs w:val="18"/>
          <w:color w:val="D9D9D9"/>
          <w:spacing w:val="48"/>
          <w:w w:val="101"/>
        </w:rPr>
        <w:t xml:space="preserve"> </w:t>
      </w:r>
      <w:r>
        <w:rPr>
          <w:rFonts w:ascii="Microsoft YaHei" w:hAnsi="Microsoft YaHei" w:eastAsia="Microsoft YaHei" w:cs="Microsoft YaHei"/>
          <w:sz w:val="18"/>
          <w:szCs w:val="18"/>
          <w:color w:val="4B4C4D"/>
          <w:spacing w:val="2"/>
        </w:rPr>
        <w:t>理论、方法与实践</w:t>
      </w:r>
    </w:p>
    <w:p>
      <w:pPr>
        <w:spacing w:line="334" w:lineRule="auto"/>
        <w:rPr>
          <w:rFonts w:ascii="Arial"/>
          <w:sz w:val="21"/>
        </w:rPr>
      </w:pPr>
      <w:r/>
    </w:p>
    <w:p>
      <w:pPr>
        <w:pStyle w:val="BodyText"/>
        <w:ind w:left="577" w:right="86"/>
        <w:spacing w:before="68" w:line="269" w:lineRule="auto"/>
        <w:jc w:val="both"/>
        <w:rPr/>
      </w:pPr>
      <w:r>
        <w:rPr>
          <w:color w:val="231F20"/>
        </w:rPr>
        <w:t>度。制度组织是跨职能部门的组织，负责解决整体数据战略、数据政策、数据管理度量指</w:t>
      </w:r>
      <w:r>
        <w:rPr>
          <w:color w:val="231F20"/>
          <w:spacing w:val="6"/>
        </w:rPr>
        <w:t xml:space="preserve"> </w:t>
      </w:r>
      <w:r>
        <w:rPr>
          <w:color w:val="231F20"/>
        </w:rPr>
        <w:t>标等数据治理规程问题。服务组织根据数据治理领导组制定的愿景和长期目标，协助各数</w:t>
      </w:r>
      <w:r>
        <w:rPr>
          <w:color w:val="231F20"/>
          <w:spacing w:val="12"/>
        </w:rPr>
        <w:t xml:space="preserve"> </w:t>
      </w:r>
      <w:r>
        <w:rPr>
          <w:color w:val="231F20"/>
        </w:rPr>
        <w:t>据领域工作层级实施数据治理工作，对整体数据治理工作进行度量、检查和汇报，并对跨</w:t>
      </w:r>
      <w:r>
        <w:rPr>
          <w:color w:val="231F20"/>
          <w:spacing w:val="12"/>
        </w:rPr>
        <w:t xml:space="preserve"> </w:t>
      </w:r>
      <w:r>
        <w:rPr>
          <w:color w:val="231F20"/>
          <w:spacing w:val="-2"/>
        </w:rPr>
        <w:t>领域数据治理问题和争议进行裁决和统筹决策。</w:t>
      </w:r>
    </w:p>
    <w:p>
      <w:pPr>
        <w:pStyle w:val="BodyText"/>
        <w:ind w:left="1003"/>
        <w:spacing w:before="72" w:line="235" w:lineRule="auto"/>
        <w:rPr/>
      </w:pPr>
      <w:r>
        <w:rPr>
          <w:rFonts w:ascii="Times New Roman" w:hAnsi="Times New Roman" w:eastAsia="Times New Roman" w:cs="Times New Roman"/>
          <w:color w:val="231F20"/>
          <w:spacing w:val="-2"/>
        </w:rPr>
        <w:t>3</w:t>
      </w:r>
      <w:r>
        <w:rPr>
          <w:color w:val="231F20"/>
          <w:spacing w:val="-2"/>
        </w:rPr>
        <w:t>）制度章程</w:t>
      </w:r>
    </w:p>
    <w:p>
      <w:pPr>
        <w:pStyle w:val="BodyText"/>
        <w:ind w:left="577" w:right="75" w:firstLine="426"/>
        <w:spacing w:before="55" w:line="269" w:lineRule="auto"/>
        <w:rPr/>
      </w:pPr>
      <w:r>
        <w:rPr>
          <w:color w:val="231F20"/>
        </w:rPr>
        <w:t>制度章程是确保对数据治理进行有效实施的责任制度，包括数据治理职能的职责，也</w:t>
      </w:r>
      <w:r>
        <w:rPr>
          <w:color w:val="231F20"/>
          <w:spacing w:val="16"/>
        </w:rPr>
        <w:t xml:space="preserve"> </w:t>
      </w:r>
      <w:r>
        <w:rPr>
          <w:color w:val="231F20"/>
        </w:rPr>
        <w:t>包括其他数据管理职能的职责。数据治理是最高层次的、规划性的数据管理制度活动，是</w:t>
      </w:r>
      <w:r>
        <w:rPr>
          <w:color w:val="231F20"/>
          <w:spacing w:val="9"/>
        </w:rPr>
        <w:t xml:space="preserve"> </w:t>
      </w:r>
      <w:r>
        <w:rPr>
          <w:color w:val="231F20"/>
        </w:rPr>
        <w:t>主要由数据管理人员和协调人员共同制定的高层次的数据管理制度决策。数据治理的制度</w:t>
      </w:r>
      <w:r>
        <w:rPr>
          <w:color w:val="231F20"/>
          <w:spacing w:val="9"/>
        </w:rPr>
        <w:t xml:space="preserve"> </w:t>
      </w:r>
      <w:r>
        <w:rPr>
          <w:color w:val="231F20"/>
          <w:spacing w:val="-2"/>
        </w:rPr>
        <w:t>章程一般包含规章制度、管控办法、考核机制与技术规范。</w:t>
      </w:r>
    </w:p>
    <w:p>
      <w:pPr>
        <w:pStyle w:val="BodyText"/>
        <w:ind w:left="998"/>
        <w:spacing w:before="73" w:line="235" w:lineRule="auto"/>
        <w:rPr/>
      </w:pPr>
      <w:r>
        <w:rPr>
          <w:rFonts w:ascii="Times New Roman" w:hAnsi="Times New Roman" w:eastAsia="Times New Roman" w:cs="Times New Roman"/>
          <w:color w:val="231F20"/>
          <w:spacing w:val="-8"/>
        </w:rPr>
        <w:t>4 </w:t>
      </w:r>
      <w:r>
        <w:rPr>
          <w:color w:val="231F20"/>
          <w:spacing w:val="-8"/>
        </w:rPr>
        <w:t>）流程管理</w:t>
      </w:r>
    </w:p>
    <w:p>
      <w:pPr>
        <w:pStyle w:val="BodyText"/>
        <w:ind w:left="577" w:right="84" w:firstLine="426"/>
        <w:spacing w:before="57" w:line="263" w:lineRule="auto"/>
        <w:rPr/>
      </w:pPr>
      <w:r>
        <w:rPr>
          <w:color w:val="231F20"/>
        </w:rPr>
        <w:t>流程管理包括流程目标、流程任务、流程分级。根据数据治理的内容，建立相应的流</w:t>
      </w:r>
      <w:r>
        <w:rPr>
          <w:color w:val="231F20"/>
          <w:spacing w:val="7"/>
        </w:rPr>
        <w:t xml:space="preserve"> </w:t>
      </w:r>
      <w:r>
        <w:rPr>
          <w:color w:val="231F20"/>
        </w:rPr>
        <w:t>程，且遵循这一组织数据治理的规章制度。实际操作中可结合所使用的数据治理工具，与</w:t>
      </w:r>
      <w:r>
        <w:rPr>
          <w:color w:val="231F20"/>
          <w:spacing w:val="3"/>
        </w:rPr>
        <w:t xml:space="preserve"> </w:t>
      </w:r>
      <w:r>
        <w:rPr>
          <w:color w:val="231F20"/>
          <w:spacing w:val="-2"/>
        </w:rPr>
        <w:t>数据治理工具供应商协商，建立符合组织条件的流程管理。</w:t>
      </w:r>
    </w:p>
    <w:p>
      <w:pPr>
        <w:pStyle w:val="BodyText"/>
        <w:ind w:left="1005"/>
        <w:spacing w:before="74" w:line="235" w:lineRule="auto"/>
        <w:rPr/>
      </w:pPr>
      <w:r>
        <w:rPr>
          <w:rFonts w:ascii="Times New Roman" w:hAnsi="Times New Roman" w:eastAsia="Times New Roman" w:cs="Times New Roman"/>
          <w:color w:val="231F20"/>
          <w:spacing w:val="-12"/>
        </w:rPr>
        <w:t>5 </w:t>
      </w:r>
      <w:r>
        <w:rPr>
          <w:color w:val="231F20"/>
          <w:spacing w:val="-12"/>
        </w:rPr>
        <w:t>）技术应用</w:t>
      </w:r>
    </w:p>
    <w:p>
      <w:pPr>
        <w:pStyle w:val="BodyText"/>
        <w:ind w:left="582" w:right="86" w:firstLine="420"/>
        <w:spacing w:before="56" w:line="263" w:lineRule="auto"/>
        <w:rPr/>
      </w:pPr>
      <w:r>
        <w:rPr>
          <w:color w:val="231F20"/>
        </w:rPr>
        <w:t>技术应用包括支撑核心领域的工具和平台，例如，数据质量管理系统、元数据</w:t>
      </w:r>
      <w:r>
        <w:rPr>
          <w:color w:val="231F20"/>
          <w:spacing w:val="-1"/>
        </w:rPr>
        <w:t>管理系</w:t>
      </w:r>
      <w:r>
        <w:rPr>
          <w:color w:val="231F20"/>
        </w:rPr>
        <w:t xml:space="preserve"> </w:t>
      </w:r>
      <w:r>
        <w:rPr>
          <w:color w:val="231F20"/>
        </w:rPr>
        <w:t>统等。这是数据治理能够顺利开展的技术保障。只有建立丰富的数据治理工具和平台，才</w:t>
      </w:r>
      <w:r>
        <w:rPr>
          <w:color w:val="231F20"/>
          <w:spacing w:val="6"/>
        </w:rPr>
        <w:t xml:space="preserve"> </w:t>
      </w:r>
      <w:r>
        <w:rPr>
          <w:color w:val="231F20"/>
          <w:spacing w:val="-1"/>
        </w:rPr>
        <w:t>能在各个领域有效地进行数据的管理和治理</w:t>
      </w:r>
      <w:r>
        <w:rPr>
          <w:color w:val="231F20"/>
          <w:spacing w:val="-2"/>
        </w:rPr>
        <w:t>，才能有效提高数据价值。</w:t>
      </w:r>
    </w:p>
    <w:p>
      <w:pPr>
        <w:pStyle w:val="BodyText"/>
        <w:ind w:left="1003"/>
        <w:spacing w:before="75" w:line="234" w:lineRule="auto"/>
        <w:rPr/>
      </w:pPr>
      <w:r>
        <w:rPr>
          <w:rFonts w:ascii="Times New Roman" w:hAnsi="Times New Roman" w:eastAsia="Times New Roman" w:cs="Times New Roman"/>
          <w:color w:val="231F20"/>
          <w:spacing w:val="-4"/>
        </w:rPr>
        <w:t>6</w:t>
      </w:r>
      <w:r>
        <w:rPr>
          <w:color w:val="231F20"/>
          <w:spacing w:val="-4"/>
        </w:rPr>
        <w:t>）监督评估</w:t>
      </w:r>
    </w:p>
    <w:p>
      <w:pPr>
        <w:pStyle w:val="BodyText"/>
        <w:ind w:left="577" w:right="75" w:firstLine="426"/>
        <w:spacing w:before="60" w:line="268" w:lineRule="auto"/>
        <w:rPr/>
      </w:pPr>
      <w:r>
        <w:rPr>
          <w:color w:val="231F20"/>
        </w:rPr>
        <w:t>监督评估是数据治理中不可缺少的要素。数据治理离不开监督，一旦在治理过程中破</w:t>
      </w:r>
      <w:r>
        <w:rPr>
          <w:color w:val="231F20"/>
          <w:spacing w:val="16"/>
        </w:rPr>
        <w:t xml:space="preserve"> </w:t>
      </w:r>
      <w:r>
        <w:rPr>
          <w:color w:val="231F20"/>
          <w:spacing w:val="1"/>
        </w:rPr>
        <w:t>坏了数据的完整性或一致性，通过监督溯源就可</w:t>
      </w:r>
      <w:r>
        <w:rPr>
          <w:color w:val="231F20"/>
        </w:rPr>
        <w:t>及时发现问题所在。一个组织的数据治理 </w:t>
      </w:r>
      <w:r>
        <w:rPr>
          <w:color w:val="231F20"/>
        </w:rPr>
        <w:t>效果是否达到预期，可以通过数据的质量、数据治理的效率、数据治理模型的成熟度几方</w:t>
      </w:r>
      <w:r>
        <w:rPr>
          <w:color w:val="231F20"/>
          <w:spacing w:val="12"/>
        </w:rPr>
        <w:t xml:space="preserve"> </w:t>
      </w:r>
      <w:r>
        <w:rPr>
          <w:color w:val="231F20"/>
          <w:spacing w:val="-6"/>
        </w:rPr>
        <w:t>面进行评估。</w:t>
      </w:r>
    </w:p>
    <w:p>
      <w:pPr>
        <w:pStyle w:val="BodyText"/>
        <w:ind w:left="998"/>
        <w:spacing w:before="75" w:line="220" w:lineRule="auto"/>
        <w:rPr/>
      </w:pPr>
      <w:r>
        <w:rPr>
          <w:rFonts w:ascii="Times New Roman" w:hAnsi="Times New Roman" w:eastAsia="Times New Roman" w:cs="Times New Roman"/>
          <w:color w:val="231F20"/>
          <w:spacing w:val="-1"/>
        </w:rPr>
        <w:t>4. </w:t>
      </w:r>
      <w:r>
        <w:rPr>
          <w:color w:val="231F20"/>
          <w:spacing w:val="-1"/>
        </w:rPr>
        <w:t>数据治理工作的类型</w:t>
      </w:r>
    </w:p>
    <w:p>
      <w:pPr>
        <w:pStyle w:val="BodyText"/>
        <w:ind w:left="1004"/>
        <w:spacing w:before="74" w:line="220" w:lineRule="auto"/>
        <w:rPr/>
      </w:pPr>
      <w:r>
        <w:rPr>
          <w:color w:val="231F20"/>
          <w:spacing w:val="-3"/>
        </w:rPr>
        <w:t>数据治理工作主要分为以下</w:t>
      </w:r>
      <w:r>
        <w:rPr>
          <w:color w:val="231F20"/>
          <w:spacing w:val="-30"/>
        </w:rPr>
        <w:t xml:space="preserve"> </w:t>
      </w:r>
      <w:r>
        <w:rPr>
          <w:rFonts w:ascii="Times New Roman" w:hAnsi="Times New Roman" w:eastAsia="Times New Roman" w:cs="Times New Roman"/>
          <w:color w:val="231F20"/>
          <w:spacing w:val="-3"/>
        </w:rPr>
        <w:t>3 </w:t>
      </w:r>
      <w:r>
        <w:rPr>
          <w:color w:val="231F20"/>
          <w:spacing w:val="-3"/>
        </w:rPr>
        <w:t>种类型。</w:t>
      </w:r>
    </w:p>
    <w:p>
      <w:pPr>
        <w:pStyle w:val="BodyText"/>
        <w:ind w:left="1019"/>
        <w:spacing w:before="73" w:line="235" w:lineRule="auto"/>
        <w:rPr/>
      </w:pPr>
      <w:r>
        <w:rPr>
          <w:rFonts w:ascii="Times New Roman" w:hAnsi="Times New Roman" w:eastAsia="Times New Roman" w:cs="Times New Roman"/>
          <w:color w:val="231F20"/>
          <w:spacing w:val="-9"/>
        </w:rPr>
        <w:t>1 </w:t>
      </w:r>
      <w:r>
        <w:rPr>
          <w:color w:val="231F20"/>
          <w:spacing w:val="-9"/>
        </w:rPr>
        <w:t>）基础数据治理</w:t>
      </w:r>
    </w:p>
    <w:p>
      <w:pPr>
        <w:pStyle w:val="BodyText"/>
        <w:ind w:left="478" w:right="74" w:firstLine="524"/>
        <w:spacing w:before="57" w:line="272" w:lineRule="auto"/>
        <w:rPr/>
      </w:pPr>
      <w:r>
        <w:rPr>
          <w:color w:val="231F20"/>
          <w:spacing w:val="6"/>
        </w:rPr>
        <w:t>基础数据用于对其他数据进行分类，因此也称作参考数据。基础数据通</w:t>
      </w:r>
      <w:r>
        <w:rPr>
          <w:color w:val="231F20"/>
          <w:spacing w:val="5"/>
        </w:rPr>
        <w:t>常是静态的</w:t>
      </w:r>
      <w:r>
        <w:rPr>
          <w:color w:val="231F20"/>
        </w:rPr>
        <w:t xml:space="preserve"> </w:t>
      </w:r>
      <w:r>
        <w:rPr>
          <w:color w:val="231F20"/>
          <w:spacing w:val="2"/>
        </w:rPr>
        <w:t>（如国家币种、个人信息等</w:t>
      </w:r>
      <w:r>
        <w:rPr>
          <w:color w:val="231F20"/>
          <w:spacing w:val="-5"/>
        </w:rPr>
        <w:t>），</w:t>
      </w:r>
      <w:r>
        <w:rPr>
          <w:color w:val="231F20"/>
          <w:spacing w:val="-43"/>
        </w:rPr>
        <w:t xml:space="preserve"> </w:t>
      </w:r>
      <w:r>
        <w:rPr>
          <w:color w:val="231F20"/>
          <w:spacing w:val="2"/>
        </w:rPr>
        <w:t>一般在业务事件</w:t>
      </w:r>
      <w:r>
        <w:rPr>
          <w:color w:val="231F20"/>
          <w:spacing w:val="1"/>
        </w:rPr>
        <w:t>发生之前就已经预先定义。基础数据的可</w:t>
      </w:r>
      <w:r>
        <w:rPr>
          <w:color w:val="231F20"/>
        </w:rPr>
        <w:t xml:space="preserve"> </w:t>
      </w:r>
      <w:r>
        <w:rPr>
          <w:color w:val="231F20"/>
          <w:spacing w:val="9"/>
        </w:rPr>
        <w:t>选值范围有限。当基础数据的取值发生变化的时候，通常需要对</w:t>
      </w:r>
      <w:r>
        <w:rPr>
          <w:color w:val="231F20"/>
          <w:spacing w:val="8"/>
        </w:rPr>
        <w:t>流程和信息系统进行分</w:t>
      </w:r>
      <w:r>
        <w:rPr>
          <w:color w:val="231F20"/>
        </w:rPr>
        <w:t xml:space="preserve"> </w:t>
      </w:r>
      <w:r>
        <w:rPr>
          <w:color w:val="231F20"/>
          <w:spacing w:val="8"/>
        </w:rPr>
        <w:t>析和修改，</w:t>
      </w:r>
      <w:r>
        <w:rPr>
          <w:color w:val="231F20"/>
          <w:spacing w:val="-59"/>
        </w:rPr>
        <w:t xml:space="preserve"> </w:t>
      </w:r>
      <w:r>
        <w:rPr>
          <w:color w:val="231F20"/>
          <w:spacing w:val="8"/>
        </w:rPr>
        <w:t>以满足组织业务需求。因此，基</w:t>
      </w:r>
      <w:r>
        <w:rPr>
          <w:color w:val="231F20"/>
          <w:spacing w:val="7"/>
        </w:rPr>
        <w:t>础数据的管理重点在于变更管理和统一标准</w:t>
      </w:r>
      <w:r>
        <w:rPr>
          <w:color w:val="231F20"/>
        </w:rPr>
        <w:t xml:space="preserve"> </w:t>
      </w:r>
      <w:r>
        <w:rPr>
          <w:color w:val="231F20"/>
          <w:spacing w:val="20"/>
        </w:rPr>
        <w:t>管控。</w:t>
      </w:r>
    </w:p>
    <w:p>
      <w:pPr>
        <w:pStyle w:val="BodyText"/>
        <w:ind w:left="999"/>
        <w:spacing w:before="73" w:line="235" w:lineRule="auto"/>
        <w:rPr/>
      </w:pPr>
      <w:r>
        <w:rPr>
          <w:rFonts w:ascii="Times New Roman" w:hAnsi="Times New Roman" w:eastAsia="Times New Roman" w:cs="Times New Roman"/>
          <w:color w:val="231F20"/>
          <w:spacing w:val="-8"/>
        </w:rPr>
        <w:t>2 </w:t>
      </w:r>
      <w:r>
        <w:rPr>
          <w:color w:val="231F20"/>
          <w:spacing w:val="-8"/>
        </w:rPr>
        <w:t>）主数据治理</w:t>
      </w:r>
    </w:p>
    <w:p>
      <w:pPr>
        <w:pStyle w:val="BodyText"/>
        <w:ind w:left="578" w:right="75" w:firstLine="426"/>
        <w:spacing w:before="55" w:line="269" w:lineRule="auto"/>
        <w:rPr/>
      </w:pPr>
      <w:r>
        <w:rPr>
          <w:color w:val="231F20"/>
        </w:rPr>
        <w:t>主数据是参与业务事件的主体或资源，是具有高业务价值的、跨流程和跨系统重复使</w:t>
      </w:r>
      <w:r>
        <w:rPr>
          <w:color w:val="231F20"/>
          <w:spacing w:val="15"/>
        </w:rPr>
        <w:t xml:space="preserve"> </w:t>
      </w:r>
      <w:r>
        <w:rPr>
          <w:color w:val="231F20"/>
        </w:rPr>
        <w:t>用的数据。主数据与基础数据有一定的相似性，都是在业务事件发生之前预先定义；但主</w:t>
      </w:r>
      <w:r>
        <w:rPr>
          <w:color w:val="231F20"/>
          <w:spacing w:val="7"/>
        </w:rPr>
        <w:t xml:space="preserve"> </w:t>
      </w:r>
      <w:r>
        <w:rPr>
          <w:color w:val="231F20"/>
        </w:rPr>
        <w:t>数据又与基础数据不同，主数据的取值不受限于预先定义的数据范围，而且主数据记录的</w:t>
      </w:r>
      <w:r>
        <w:rPr>
          <w:color w:val="231F20"/>
          <w:spacing w:val="3"/>
        </w:rPr>
        <w:t xml:space="preserve"> </w:t>
      </w:r>
      <w:r>
        <w:rPr>
          <w:color w:val="231F20"/>
          <w:spacing w:val="-2"/>
        </w:rPr>
        <w:t>增加和减少一般不会影响流程和系统的变化。</w:t>
      </w:r>
    </w:p>
    <w:p>
      <w:pPr>
        <w:pStyle w:val="BodyText"/>
        <w:ind w:left="1003"/>
        <w:spacing w:before="73" w:line="235" w:lineRule="auto"/>
        <w:rPr/>
      </w:pPr>
      <w:r>
        <w:rPr>
          <w:rFonts w:ascii="Times New Roman" w:hAnsi="Times New Roman" w:eastAsia="Times New Roman" w:cs="Times New Roman"/>
          <w:color w:val="231F20"/>
          <w:spacing w:val="-3"/>
        </w:rPr>
        <w:t>3</w:t>
      </w:r>
      <w:r>
        <w:rPr>
          <w:color w:val="231F20"/>
          <w:spacing w:val="-3"/>
        </w:rPr>
        <w:t>）事务数据治理</w:t>
      </w:r>
    </w:p>
    <w:p>
      <w:pPr>
        <w:pStyle w:val="BodyText"/>
        <w:ind w:left="577" w:firstLine="425"/>
        <w:spacing w:before="57" w:line="253" w:lineRule="auto"/>
        <w:rPr/>
      </w:pPr>
      <w:r>
        <w:rPr>
          <w:color w:val="231F20"/>
          <w:spacing w:val="2"/>
        </w:rPr>
        <w:t>事务数据在业务和流程中产生，是业务事件的记录，其本身就是业务运作的一部分。</w:t>
      </w:r>
      <w:r>
        <w:rPr>
          <w:color w:val="231F20"/>
          <w:spacing w:val="18"/>
        </w:rPr>
        <w:t xml:space="preserve"> </w:t>
      </w:r>
      <w:r>
        <w:rPr>
          <w:color w:val="231F20"/>
          <w:spacing w:val="-1"/>
        </w:rPr>
        <w:t>事务数据是具有较强时效性的一次性业务事件，通常在事件结束后不</w:t>
      </w:r>
      <w:r>
        <w:rPr>
          <w:color w:val="231F20"/>
          <w:spacing w:val="-2"/>
        </w:rPr>
        <w:t>再更新。</w:t>
      </w:r>
    </w:p>
    <w:p>
      <w:pPr>
        <w:spacing w:line="253" w:lineRule="auto"/>
        <w:sectPr>
          <w:footerReference w:type="default" r:id="rId67"/>
          <w:pgSz w:w="10489" w:h="14741"/>
          <w:pgMar w:top="482" w:right="1057" w:bottom="734" w:left="564" w:header="0" w:footer="551" w:gutter="0"/>
        </w:sectPr>
        <w:rPr/>
      </w:pPr>
    </w:p>
    <w:p>
      <w:pPr>
        <w:spacing w:before="41" w:line="204" w:lineRule="auto"/>
        <w:jc w:val="right"/>
        <w:rPr>
          <w:sz w:val="18"/>
          <w:szCs w:val="18"/>
        </w:rPr>
      </w:pPr>
      <w:r>
        <w:pict>
          <v:rect id="_x0000_s104" style="position:absolute;margin-left:56.6925pt;margin-top:80.7878pt;mso-position-vertical-relative:page;mso-position-horizontal-relative:page;width:182.15pt;height:0.85pt;z-index:251798528;" o:allowincell="f" fillcolor="#76787B" filled="true" stroked="false"/>
        </w:pict>
      </w:r>
      <w:r>
        <w:pict>
          <v:rect id="_x0000_s106" style="position:absolute;margin-left:56.6925pt;margin-top:531.969pt;mso-position-vertical-relative:page;mso-position-horizontal-relative:page;width:182.15pt;height:0.9pt;z-index:251797504;" o:allowincell="f" fillcolor="#76787B" filled="true" stroked="false"/>
        </w:pict>
      </w:r>
      <w:r>
        <w:pict>
          <v:shape id="_x0000_s108" style="position:absolute;margin-left:165.455pt;margin-top:412.289pt;mso-position-vertical-relative:page;mso-position-horizontal-relative:page;width:61pt;height:17.75pt;z-index:25178521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170" w:type="dxa"/>
                    <w:tblInd w:w="25" w:type="dxa"/>
                    <w:tblLayout w:type="fixed"/>
                    <w:tblBorders>
                      <w:left w:val="single" w:color="231F20" w:sz="4" w:space="0"/>
                      <w:bottom w:val="single" w:color="231F20" w:sz="4" w:space="0"/>
                      <w:right w:val="single" w:color="231F20" w:sz="4" w:space="0"/>
                      <w:top w:val="single" w:color="231F20" w:sz="4" w:space="0"/>
                    </w:tblBorders>
                  </w:tblPr>
                  <w:tblGrid>
                    <w:gridCol w:w="1170"/>
                  </w:tblGrid>
                  <w:tr>
                    <w:trPr>
                      <w:trHeight w:val="295" w:hRule="atLeast"/>
                    </w:trPr>
                    <w:tc>
                      <w:tcPr>
                        <w:tcW w:w="1170" w:type="dxa"/>
                        <w:vAlign w:val="top"/>
                      </w:tcPr>
                      <w:p>
                        <w:pPr>
                          <w:pStyle w:val="TableText"/>
                          <w:ind w:left="277"/>
                          <w:spacing w:before="15" w:line="236" w:lineRule="exact"/>
                          <w:rPr>
                            <w:rFonts w:ascii="Times New Roman" w:hAnsi="Times New Roman" w:eastAsia="Times New Roman" w:cs="Times New Roman"/>
                          </w:rPr>
                        </w:pPr>
                        <w:r>
                          <w:rPr>
                            <w:color w:val="231F20"/>
                            <w:spacing w:val="-9"/>
                            <w:position w:val="2"/>
                          </w:rPr>
                          <w:t>目的</w:t>
                        </w:r>
                        <w:r>
                          <w:rPr>
                            <w:rFonts w:ascii="Times New Roman" w:hAnsi="Times New Roman" w:eastAsia="Times New Roman" w:cs="Times New Roman"/>
                            <w:color w:val="231F20"/>
                            <w:spacing w:val="-9"/>
                            <w:position w:val="2"/>
                          </w:rPr>
                          <w:t>why</w:t>
                        </w:r>
                      </w:p>
                    </w:tc>
                  </w:tr>
                </w:tbl>
                <w:p>
                  <w:pPr>
                    <w:rPr>
                      <w:rFonts w:ascii="Arial"/>
                      <w:sz w:val="21"/>
                    </w:rPr>
                  </w:pPr>
                  <w:r/>
                </w:p>
              </w:txbxContent>
            </v:textbox>
          </v:shape>
        </w:pict>
      </w:r>
      <w:r>
        <w:pict>
          <v:shape id="_x0000_s110" style="position:absolute;margin-left:231.705pt;margin-top:412.289pt;mso-position-vertical-relative:page;mso-position-horizontal-relative:page;width:61pt;height:17.75pt;z-index:25178624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170" w:type="dxa"/>
                    <w:tblInd w:w="25" w:type="dxa"/>
                    <w:tblLayout w:type="fixed"/>
                    <w:tblBorders>
                      <w:left w:val="single" w:color="231F20" w:sz="4" w:space="0"/>
                      <w:bottom w:val="single" w:color="231F20" w:sz="4" w:space="0"/>
                      <w:right w:val="single" w:color="231F20" w:sz="4" w:space="0"/>
                      <w:top w:val="single" w:color="231F20" w:sz="4" w:space="0"/>
                    </w:tblBorders>
                  </w:tblPr>
                  <w:tblGrid>
                    <w:gridCol w:w="1170"/>
                  </w:tblGrid>
                  <w:tr>
                    <w:trPr>
                      <w:trHeight w:val="295" w:hRule="atLeast"/>
                    </w:trPr>
                    <w:tc>
                      <w:tcPr>
                        <w:tcW w:w="1170" w:type="dxa"/>
                        <w:vAlign w:val="top"/>
                      </w:tcPr>
                      <w:p>
                        <w:pPr>
                          <w:pStyle w:val="TableText"/>
                          <w:ind w:left="217"/>
                          <w:spacing w:before="15" w:line="236" w:lineRule="exact"/>
                          <w:rPr>
                            <w:rFonts w:ascii="Times New Roman" w:hAnsi="Times New Roman" w:eastAsia="Times New Roman" w:cs="Times New Roman"/>
                          </w:rPr>
                        </w:pPr>
                        <w:r>
                          <w:rPr>
                            <w:color w:val="231F20"/>
                            <w:spacing w:val="-2"/>
                            <w:position w:val="1"/>
                          </w:rPr>
                          <w:t>对象</w:t>
                        </w:r>
                        <w:r>
                          <w:rPr>
                            <w:rFonts w:ascii="Times New Roman" w:hAnsi="Times New Roman" w:eastAsia="Times New Roman" w:cs="Times New Roman"/>
                            <w:color w:val="231F20"/>
                            <w:spacing w:val="-2"/>
                            <w:position w:val="1"/>
                          </w:rPr>
                          <w:t>what</w:t>
                        </w:r>
                      </w:p>
                    </w:tc>
                  </w:tr>
                </w:tbl>
                <w:p>
                  <w:pPr>
                    <w:rPr>
                      <w:rFonts w:ascii="Arial"/>
                      <w:sz w:val="21"/>
                    </w:rPr>
                  </w:pPr>
                  <w:r/>
                </w:p>
              </w:txbxContent>
            </v:textbox>
          </v:shape>
        </w:pict>
      </w:r>
      <w:r>
        <w:pict>
          <v:shape id="_x0000_s112" style="position:absolute;margin-left:297.956pt;margin-top:412.289pt;mso-position-vertical-relative:page;mso-position-horizontal-relative:page;width:61pt;height:17.75pt;z-index:25178828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169" w:type="dxa"/>
                    <w:tblInd w:w="25" w:type="dxa"/>
                    <w:tblLayout w:type="fixed"/>
                    <w:tblBorders>
                      <w:left w:val="single" w:color="231F20" w:sz="4" w:space="0"/>
                      <w:bottom w:val="single" w:color="231F20" w:sz="4" w:space="0"/>
                      <w:right w:val="single" w:color="231F20" w:sz="4" w:space="0"/>
                      <w:top w:val="single" w:color="231F20" w:sz="4" w:space="0"/>
                    </w:tblBorders>
                  </w:tblPr>
                  <w:tblGrid>
                    <w:gridCol w:w="1169"/>
                  </w:tblGrid>
                  <w:tr>
                    <w:trPr>
                      <w:trHeight w:val="295" w:hRule="atLeast"/>
                    </w:trPr>
                    <w:tc>
                      <w:tcPr>
                        <w:tcW w:w="1169" w:type="dxa"/>
                        <w:vAlign w:val="top"/>
                      </w:tcPr>
                      <w:p>
                        <w:pPr>
                          <w:pStyle w:val="TableText"/>
                          <w:ind w:left="247"/>
                          <w:spacing w:before="15" w:line="236" w:lineRule="exact"/>
                          <w:rPr>
                            <w:rFonts w:ascii="Times New Roman" w:hAnsi="Times New Roman" w:eastAsia="Times New Roman" w:cs="Times New Roman"/>
                          </w:rPr>
                        </w:pPr>
                        <w:r>
                          <w:rPr>
                            <w:color w:val="231F20"/>
                            <w:spacing w:val="-2"/>
                            <w:position w:val="1"/>
                          </w:rPr>
                          <w:t>手段</w:t>
                        </w:r>
                        <w:r>
                          <w:rPr>
                            <w:rFonts w:ascii="Times New Roman" w:hAnsi="Times New Roman" w:eastAsia="Times New Roman" w:cs="Times New Roman"/>
                            <w:color w:val="231F20"/>
                            <w:spacing w:val="-2"/>
                            <w:position w:val="1"/>
                          </w:rPr>
                          <w:t>how</w:t>
                        </w:r>
                      </w:p>
                    </w:tc>
                  </w:tr>
                </w:tbl>
                <w:p>
                  <w:pPr>
                    <w:rPr>
                      <w:rFonts w:ascii="Arial"/>
                      <w:sz w:val="21"/>
                    </w:rPr>
                  </w:pPr>
                  <w:r/>
                </w:p>
              </w:txbxContent>
            </v:textbox>
          </v:shape>
        </w:pict>
      </w:r>
      <w:r>
        <w:pict>
          <v:shape id="_x0000_s114" style="position:absolute;margin-left:364.206pt;margin-top:412.289pt;mso-position-vertical-relative:page;mso-position-horizontal-relative:page;width:61pt;height:17.75pt;z-index:25178726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169" w:type="dxa"/>
                    <w:tblInd w:w="25" w:type="dxa"/>
                    <w:tblLayout w:type="fixed"/>
                    <w:tblBorders>
                      <w:left w:val="single" w:color="231F20" w:sz="4" w:space="0"/>
                      <w:bottom w:val="single" w:color="231F20" w:sz="4" w:space="0"/>
                      <w:right w:val="single" w:color="231F20" w:sz="4" w:space="0"/>
                      <w:top w:val="single" w:color="231F20" w:sz="4" w:space="0"/>
                    </w:tblBorders>
                  </w:tblPr>
                  <w:tblGrid>
                    <w:gridCol w:w="1169"/>
                  </w:tblGrid>
                  <w:tr>
                    <w:trPr>
                      <w:trHeight w:val="295" w:hRule="atLeast"/>
                    </w:trPr>
                    <w:tc>
                      <w:tcPr>
                        <w:tcW w:w="1169" w:type="dxa"/>
                        <w:vAlign w:val="top"/>
                      </w:tcPr>
                      <w:p>
                        <w:pPr>
                          <w:pStyle w:val="TableText"/>
                          <w:ind w:left="198"/>
                          <w:spacing w:before="15" w:line="236" w:lineRule="exact"/>
                          <w:rPr>
                            <w:rFonts w:ascii="Times New Roman" w:hAnsi="Times New Roman" w:eastAsia="Times New Roman" w:cs="Times New Roman"/>
                          </w:rPr>
                        </w:pPr>
                        <w:r>
                          <w:rPr>
                            <w:color w:val="231F20"/>
                            <w:spacing w:val="-2"/>
                            <w:position w:val="1"/>
                          </w:rPr>
                          <w:t>过程</w:t>
                        </w:r>
                        <w:r>
                          <w:rPr>
                            <w:rFonts w:ascii="Times New Roman" w:hAnsi="Times New Roman" w:eastAsia="Times New Roman" w:cs="Times New Roman"/>
                            <w:color w:val="231F20"/>
                            <w:spacing w:val="-2"/>
                            <w:position w:val="1"/>
                          </w:rPr>
                          <w:t>when</w:t>
                        </w:r>
                      </w:p>
                    </w:tc>
                  </w:tr>
                </w:tbl>
                <w:p>
                  <w:pPr>
                    <w:rPr>
                      <w:rFonts w:ascii="Arial"/>
                      <w:sz w:val="21"/>
                    </w:rPr>
                  </w:pPr>
                  <w:r/>
                </w:p>
              </w:txbxContent>
            </v:textbox>
          </v:shape>
        </w:pict>
      </w:r>
      <w:r>
        <w:pict>
          <v:shape id="_x0000_s116" style="position:absolute;margin-left:210.955pt;margin-top:432.266pt;mso-position-vertical-relative:page;mso-position-horizontal-relative:page;width:15.5pt;height:51.95pt;z-index:25178931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60" w:type="dxa"/>
                    <w:tblInd w:w="25" w:type="dxa"/>
                    <w:tblLayout w:type="fixed"/>
                    <w:tblBorders>
                      <w:left w:val="single" w:color="231F20" w:sz="4" w:space="0"/>
                      <w:bottom w:val="single" w:color="231F20" w:sz="4" w:space="0"/>
                      <w:right w:val="single" w:color="231F20" w:sz="4" w:space="0"/>
                      <w:top w:val="single" w:color="231F20" w:sz="4" w:space="0"/>
                    </w:tblBorders>
                  </w:tblPr>
                  <w:tblGrid>
                    <w:gridCol w:w="260"/>
                  </w:tblGrid>
                  <w:tr>
                    <w:trPr>
                      <w:trHeight w:val="978" w:hRule="atLeast"/>
                    </w:trPr>
                    <w:tc>
                      <w:tcPr>
                        <w:tcW w:w="260" w:type="dxa"/>
                        <w:vAlign w:val="top"/>
                        <w:textDirection w:val="tbRlV"/>
                      </w:tcPr>
                      <w:p>
                        <w:pPr>
                          <w:pStyle w:val="TableText"/>
                          <w:ind w:left="129"/>
                          <w:spacing w:before="35" w:line="216" w:lineRule="auto"/>
                          <w:rPr/>
                        </w:pPr>
                        <w:r>
                          <w:rPr>
                            <w:color w:val="231F20"/>
                          </w:rPr>
                          <w:t>管控风险</w:t>
                        </w:r>
                      </w:p>
                    </w:tc>
                  </w:tr>
                </w:tbl>
                <w:p>
                  <w:pPr>
                    <w:rPr>
                      <w:rFonts w:ascii="Arial"/>
                      <w:sz w:val="21"/>
                    </w:rPr>
                  </w:pPr>
                  <w:r/>
                </w:p>
              </w:txbxContent>
            </v:textbox>
          </v:shape>
        </w:pict>
      </w:r>
      <w:r>
        <w:pict>
          <v:shape id="_x0000_s118" style="position:absolute;margin-left:195.788pt;margin-top:432.266pt;mso-position-vertical-relative:page;mso-position-horizontal-relative:page;width:15.5pt;height:51.95pt;z-index:25179136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60" w:type="dxa"/>
                    <w:tblInd w:w="25" w:type="dxa"/>
                    <w:tblLayout w:type="fixed"/>
                    <w:tblBorders>
                      <w:left w:val="single" w:color="231F20" w:sz="4" w:space="0"/>
                      <w:bottom w:val="single" w:color="231F20" w:sz="4" w:space="0"/>
                      <w:right w:val="single" w:color="231F20" w:sz="4" w:space="0"/>
                      <w:top w:val="single" w:color="231F20" w:sz="4" w:space="0"/>
                    </w:tblBorders>
                  </w:tblPr>
                  <w:tblGrid>
                    <w:gridCol w:w="260"/>
                  </w:tblGrid>
                  <w:tr>
                    <w:trPr>
                      <w:trHeight w:val="978" w:hRule="atLeast"/>
                    </w:trPr>
                    <w:tc>
                      <w:tcPr>
                        <w:tcW w:w="260" w:type="dxa"/>
                        <w:vAlign w:val="top"/>
                        <w:textDirection w:val="tbRlV"/>
                      </w:tcPr>
                      <w:p>
                        <w:pPr>
                          <w:pStyle w:val="TableText"/>
                          <w:ind w:left="129"/>
                          <w:spacing w:before="35" w:line="216" w:lineRule="auto"/>
                          <w:rPr/>
                        </w:pPr>
                        <w:r>
                          <w:rPr>
                            <w:color w:val="231F20"/>
                          </w:rPr>
                          <w:t>保障安全</w:t>
                        </w:r>
                      </w:p>
                    </w:tc>
                  </w:tr>
                </w:tbl>
                <w:p>
                  <w:pPr>
                    <w:rPr>
                      <w:rFonts w:ascii="Arial"/>
                      <w:sz w:val="21"/>
                    </w:rPr>
                  </w:pPr>
                  <w:r/>
                </w:p>
              </w:txbxContent>
            </v:textbox>
          </v:shape>
        </w:pict>
      </w:r>
      <w:r>
        <w:pict>
          <v:shape id="_x0000_s120" style="position:absolute;margin-left:180.622pt;margin-top:432.266pt;mso-position-vertical-relative:page;mso-position-horizontal-relative:page;width:15.5pt;height:51.95pt;z-index:25179545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60" w:type="dxa"/>
                    <w:tblInd w:w="25" w:type="dxa"/>
                    <w:tblLayout w:type="fixed"/>
                    <w:tblBorders>
                      <w:left w:val="single" w:color="231F20" w:sz="4" w:space="0"/>
                      <w:bottom w:val="single" w:color="231F20" w:sz="4" w:space="0"/>
                      <w:right w:val="single" w:color="231F20" w:sz="4" w:space="0"/>
                      <w:top w:val="single" w:color="231F20" w:sz="4" w:space="0"/>
                    </w:tblBorders>
                  </w:tblPr>
                  <w:tblGrid>
                    <w:gridCol w:w="260"/>
                  </w:tblGrid>
                  <w:tr>
                    <w:trPr>
                      <w:trHeight w:val="978" w:hRule="atLeast"/>
                    </w:trPr>
                    <w:tc>
                      <w:tcPr>
                        <w:tcW w:w="260" w:type="dxa"/>
                        <w:vAlign w:val="top"/>
                        <w:textDirection w:val="tbRlV"/>
                      </w:tcPr>
                      <w:p>
                        <w:pPr>
                          <w:pStyle w:val="TableText"/>
                          <w:ind w:left="129"/>
                          <w:spacing w:before="34" w:line="216" w:lineRule="auto"/>
                          <w:rPr/>
                        </w:pPr>
                        <w:r>
                          <w:rPr>
                            <w:color w:val="231F20"/>
                          </w:rPr>
                          <w:t>降低成本</w:t>
                        </w:r>
                      </w:p>
                    </w:tc>
                  </w:tr>
                </w:tbl>
                <w:p>
                  <w:pPr>
                    <w:rPr>
                      <w:rFonts w:ascii="Arial"/>
                      <w:sz w:val="21"/>
                    </w:rPr>
                  </w:pPr>
                  <w:r/>
                </w:p>
              </w:txbxContent>
            </v:textbox>
          </v:shape>
        </w:pict>
      </w:r>
      <w:r>
        <w:pict>
          <v:shape id="_x0000_s122" style="position:absolute;margin-left:165.455pt;margin-top:432.266pt;mso-position-vertical-relative:page;mso-position-horizontal-relative:page;width:15.5pt;height:51.95pt;z-index:25179238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60" w:type="dxa"/>
                    <w:tblInd w:w="25" w:type="dxa"/>
                    <w:tblLayout w:type="fixed"/>
                    <w:tblBorders>
                      <w:left w:val="single" w:color="231F20" w:sz="4" w:space="0"/>
                      <w:bottom w:val="single" w:color="231F20" w:sz="4" w:space="0"/>
                      <w:right w:val="single" w:color="231F20" w:sz="4" w:space="0"/>
                      <w:top w:val="single" w:color="231F20" w:sz="4" w:space="0"/>
                    </w:tblBorders>
                  </w:tblPr>
                  <w:tblGrid>
                    <w:gridCol w:w="260"/>
                  </w:tblGrid>
                  <w:tr>
                    <w:trPr>
                      <w:trHeight w:val="978" w:hRule="atLeast"/>
                    </w:trPr>
                    <w:tc>
                      <w:tcPr>
                        <w:tcW w:w="260" w:type="dxa"/>
                        <w:vAlign w:val="top"/>
                        <w:textDirection w:val="tbRlV"/>
                      </w:tcPr>
                      <w:p>
                        <w:pPr>
                          <w:pStyle w:val="TableText"/>
                          <w:ind w:left="129"/>
                          <w:spacing w:before="34" w:line="217" w:lineRule="auto"/>
                          <w:rPr/>
                        </w:pPr>
                        <w:r>
                          <w:rPr>
                            <w:color w:val="231F20"/>
                          </w:rPr>
                          <w:t>提升质量</w:t>
                        </w:r>
                      </w:p>
                    </w:tc>
                  </w:tr>
                </w:tbl>
                <w:p>
                  <w:pPr>
                    <w:rPr>
                      <w:rFonts w:ascii="Arial"/>
                      <w:sz w:val="21"/>
                    </w:rPr>
                  </w:pPr>
                  <w:r/>
                </w:p>
              </w:txbxContent>
            </v:textbox>
          </v:shape>
        </w:pict>
      </w:r>
      <w:r>
        <w:pict>
          <v:shape id="_x0000_s124" style="position:absolute;margin-left:409.705pt;margin-top:432.266pt;mso-position-vertical-relative:page;mso-position-horizontal-relative:page;width:15.5pt;height:51.95pt;z-index:25179648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62" w:type="dxa"/>
                    <w:tblInd w:w="25" w:type="dxa"/>
                    <w:tblLayout w:type="fixed"/>
                    <w:tblBorders>
                      <w:left w:val="single" w:color="231F20" w:sz="4" w:space="0"/>
                      <w:bottom w:val="single" w:color="231F20" w:sz="4" w:space="0"/>
                      <w:right w:val="single" w:color="231F20" w:sz="2" w:space="0"/>
                      <w:top w:val="single" w:color="231F20" w:sz="4" w:space="0"/>
                    </w:tblBorders>
                  </w:tblPr>
                  <w:tblGrid>
                    <w:gridCol w:w="262"/>
                  </w:tblGrid>
                  <w:tr>
                    <w:trPr>
                      <w:trHeight w:val="978" w:hRule="atLeast"/>
                    </w:trPr>
                    <w:tc>
                      <w:tcPr>
                        <w:tcW w:w="262" w:type="dxa"/>
                        <w:vAlign w:val="top"/>
                        <w:textDirection w:val="tbRlV"/>
                      </w:tcPr>
                      <w:p>
                        <w:pPr>
                          <w:pStyle w:val="TableText"/>
                          <w:ind w:left="129"/>
                          <w:spacing w:before="39" w:line="217" w:lineRule="auto"/>
                          <w:rPr/>
                        </w:pPr>
                        <w:r>
                          <w:rPr>
                            <w:color w:val="231F20"/>
                          </w:rPr>
                          <w:t>流通过程</w:t>
                        </w:r>
                      </w:p>
                    </w:tc>
                  </w:tr>
                </w:tbl>
                <w:p>
                  <w:pPr>
                    <w:rPr>
                      <w:rFonts w:ascii="Arial"/>
                      <w:sz w:val="21"/>
                    </w:rPr>
                  </w:pPr>
                  <w:r/>
                </w:p>
              </w:txbxContent>
            </v:textbox>
          </v:shape>
        </w:pict>
      </w:r>
      <w:r>
        <w:pict>
          <v:shape id="_x0000_s126" style="position:absolute;margin-left:394.538pt;margin-top:432.266pt;mso-position-vertical-relative:page;mso-position-horizontal-relative:page;width:15.5pt;height:51.95pt;z-index:25179443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60" w:type="dxa"/>
                    <w:tblInd w:w="25" w:type="dxa"/>
                    <w:tblLayout w:type="fixed"/>
                    <w:tblBorders>
                      <w:left w:val="single" w:color="231F20" w:sz="4" w:space="0"/>
                      <w:bottom w:val="single" w:color="231F20" w:sz="4" w:space="0"/>
                      <w:right w:val="single" w:color="231F20" w:sz="4" w:space="0"/>
                      <w:top w:val="single" w:color="231F20" w:sz="4" w:space="0"/>
                    </w:tblBorders>
                  </w:tblPr>
                  <w:tblGrid>
                    <w:gridCol w:w="260"/>
                  </w:tblGrid>
                  <w:tr>
                    <w:trPr>
                      <w:trHeight w:val="978" w:hRule="atLeast"/>
                    </w:trPr>
                    <w:tc>
                      <w:tcPr>
                        <w:tcW w:w="260" w:type="dxa"/>
                        <w:vAlign w:val="top"/>
                        <w:textDirection w:val="tbRlV"/>
                      </w:tcPr>
                      <w:p>
                        <w:pPr>
                          <w:pStyle w:val="TableText"/>
                          <w:ind w:left="129"/>
                          <w:spacing w:before="34" w:line="217" w:lineRule="auto"/>
                          <w:rPr/>
                        </w:pPr>
                        <w:r>
                          <w:rPr>
                            <w:color w:val="231F20"/>
                          </w:rPr>
                          <w:t>应用过程</w:t>
                        </w:r>
                      </w:p>
                    </w:tc>
                  </w:tr>
                </w:tbl>
                <w:p>
                  <w:pPr>
                    <w:rPr>
                      <w:rFonts w:ascii="Arial"/>
                      <w:sz w:val="21"/>
                    </w:rPr>
                  </w:pPr>
                  <w:r/>
                </w:p>
              </w:txbxContent>
            </v:textbox>
          </v:shape>
        </w:pict>
      </w:r>
      <w:r>
        <w:pict>
          <v:shape id="_x0000_s128" style="position:absolute;margin-left:379.372pt;margin-top:432.266pt;mso-position-vertical-relative:page;mso-position-horizontal-relative:page;width:15.5pt;height:51.95pt;z-index:25179033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60" w:type="dxa"/>
                    <w:tblInd w:w="25" w:type="dxa"/>
                    <w:tblLayout w:type="fixed"/>
                    <w:tblBorders>
                      <w:left w:val="single" w:color="231F20" w:sz="4" w:space="0"/>
                      <w:bottom w:val="single" w:color="231F20" w:sz="4" w:space="0"/>
                      <w:right w:val="single" w:color="231F20" w:sz="4" w:space="0"/>
                      <w:top w:val="single" w:color="231F20" w:sz="4" w:space="0"/>
                    </w:tblBorders>
                  </w:tblPr>
                  <w:tblGrid>
                    <w:gridCol w:w="260"/>
                  </w:tblGrid>
                  <w:tr>
                    <w:trPr>
                      <w:trHeight w:val="978" w:hRule="atLeast"/>
                    </w:trPr>
                    <w:tc>
                      <w:tcPr>
                        <w:tcW w:w="260" w:type="dxa"/>
                        <w:vAlign w:val="top"/>
                        <w:textDirection w:val="tbRlV"/>
                      </w:tcPr>
                      <w:p>
                        <w:pPr>
                          <w:pStyle w:val="TableText"/>
                          <w:ind w:left="129"/>
                          <w:spacing w:before="35" w:line="216" w:lineRule="auto"/>
                          <w:rPr/>
                        </w:pPr>
                        <w:r>
                          <w:rPr>
                            <w:color w:val="231F20"/>
                          </w:rPr>
                          <w:t>存储过程</w:t>
                        </w:r>
                      </w:p>
                    </w:tc>
                  </w:tr>
                </w:tbl>
                <w:p>
                  <w:pPr>
                    <w:rPr>
                      <w:rFonts w:ascii="Arial"/>
                      <w:sz w:val="21"/>
                    </w:rPr>
                  </w:pPr>
                  <w:r/>
                </w:p>
              </w:txbxContent>
            </v:textbox>
          </v:shape>
        </w:pict>
      </w:r>
      <w:r>
        <w:pict>
          <v:shape id="_x0000_s130" style="position:absolute;margin-left:364.205pt;margin-top:432.266pt;mso-position-vertical-relative:page;mso-position-horizontal-relative:page;width:15.5pt;height:51.95pt;z-index:25179340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260" w:type="dxa"/>
                    <w:tblInd w:w="25" w:type="dxa"/>
                    <w:tblLayout w:type="fixed"/>
                    <w:tblBorders>
                      <w:left w:val="single" w:color="231F20" w:sz="4" w:space="0"/>
                      <w:bottom w:val="single" w:color="231F20" w:sz="4" w:space="0"/>
                      <w:right w:val="single" w:color="231F20" w:sz="4" w:space="0"/>
                      <w:top w:val="single" w:color="231F20" w:sz="4" w:space="0"/>
                    </w:tblBorders>
                  </w:tblPr>
                  <w:tblGrid>
                    <w:gridCol w:w="260"/>
                  </w:tblGrid>
                  <w:tr>
                    <w:trPr>
                      <w:trHeight w:val="978" w:hRule="atLeast"/>
                    </w:trPr>
                    <w:tc>
                      <w:tcPr>
                        <w:tcW w:w="260" w:type="dxa"/>
                        <w:vAlign w:val="top"/>
                        <w:textDirection w:val="tbRlV"/>
                      </w:tcPr>
                      <w:p>
                        <w:pPr>
                          <w:pStyle w:val="TableText"/>
                          <w:ind w:left="129"/>
                          <w:spacing w:before="34" w:line="216" w:lineRule="auto"/>
                          <w:rPr/>
                        </w:pPr>
                        <w:r>
                          <w:rPr>
                            <w:color w:val="231F20"/>
                          </w:rPr>
                          <w:t>采集过程</w:t>
                        </w:r>
                      </w:p>
                    </w:tc>
                  </w:tr>
                </w:tbl>
                <w:p>
                  <w:pPr>
                    <w:rPr>
                      <w:rFonts w:ascii="Arial"/>
                      <w:sz w:val="21"/>
                    </w:rPr>
                  </w:pPr>
                  <w:r/>
                </w:p>
              </w:txbxContent>
            </v:textbox>
          </v:shape>
        </w:pict>
      </w:r>
      <w:r>
        <w:drawing>
          <wp:anchor distT="0" distB="0" distL="0" distR="0" simplePos="0" relativeHeight="251803648" behindDoc="0" locked="0" layoutInCell="0" allowOverlap="1">
            <wp:simplePos x="0" y="0"/>
            <wp:positionH relativeFrom="page">
              <wp:posOffset>3120451</wp:posOffset>
            </wp:positionH>
            <wp:positionV relativeFrom="page">
              <wp:posOffset>5505657</wp:posOffset>
            </wp:positionV>
            <wp:extent cx="6350" cy="627888"/>
            <wp:effectExtent l="0" t="0" r="0" b="0"/>
            <wp:wrapNone/>
            <wp:docPr id="102" name="IM 102"/>
            <wp:cNvGraphicFramePr/>
            <a:graphic>
              <a:graphicData uri="http://schemas.openxmlformats.org/drawingml/2006/picture">
                <pic:pic>
                  <pic:nvPicPr>
                    <pic:cNvPr id="102" name="IM 102"/>
                    <pic:cNvPicPr/>
                  </pic:nvPicPr>
                  <pic:blipFill>
                    <a:blip r:embed="rId72"/>
                    <a:stretch>
                      <a:fillRect/>
                    </a:stretch>
                  </pic:blipFill>
                  <pic:spPr>
                    <a:xfrm rot="0">
                      <a:off x="0" y="0"/>
                      <a:ext cx="6350" cy="627888"/>
                    </a:xfrm>
                    <a:prstGeom prst="rect">
                      <a:avLst/>
                    </a:prstGeom>
                  </pic:spPr>
                </pic:pic>
              </a:graphicData>
            </a:graphic>
          </wp:anchor>
        </w:drawing>
      </w:r>
      <w:r>
        <w:drawing>
          <wp:anchor distT="0" distB="0" distL="0" distR="0" simplePos="0" relativeHeight="251802624" behindDoc="0" locked="0" layoutInCell="0" allowOverlap="1">
            <wp:simplePos x="0" y="0"/>
            <wp:positionH relativeFrom="page">
              <wp:posOffset>3505680</wp:posOffset>
            </wp:positionH>
            <wp:positionV relativeFrom="page">
              <wp:posOffset>5505657</wp:posOffset>
            </wp:positionV>
            <wp:extent cx="6350" cy="627888"/>
            <wp:effectExtent l="0" t="0" r="0" b="0"/>
            <wp:wrapNone/>
            <wp:docPr id="104" name="IM 104"/>
            <wp:cNvGraphicFramePr/>
            <a:graphic>
              <a:graphicData uri="http://schemas.openxmlformats.org/drawingml/2006/picture">
                <pic:pic>
                  <pic:nvPicPr>
                    <pic:cNvPr id="104" name="IM 104"/>
                    <pic:cNvPicPr/>
                  </pic:nvPicPr>
                  <pic:blipFill>
                    <a:blip r:embed="rId73"/>
                    <a:stretch>
                      <a:fillRect/>
                    </a:stretch>
                  </pic:blipFill>
                  <pic:spPr>
                    <a:xfrm rot="0">
                      <a:off x="0" y="0"/>
                      <a:ext cx="6350" cy="627888"/>
                    </a:xfrm>
                    <a:prstGeom prst="rect">
                      <a:avLst/>
                    </a:prstGeom>
                  </pic:spPr>
                </pic:pic>
              </a:graphicData>
            </a:graphic>
          </wp:anchor>
        </w:drawing>
      </w:r>
      <w:r>
        <w:pict>
          <v:shape id="_x0000_s132" style="position:absolute;margin-left:231.705pt;margin-top:432.266pt;mso-position-vertical-relative:page;mso-position-horizontal-relative:page;width:61pt;height:51.95pt;z-index:25178316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169" w:type="dxa"/>
                    <w:tblInd w:w="25" w:type="dxa"/>
                    <w:tblLayout w:type="fixed"/>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
                  <w:tblGrid>
                    <w:gridCol w:w="317"/>
                    <w:gridCol w:w="267"/>
                    <w:gridCol w:w="312"/>
                    <w:gridCol w:w="273"/>
                  </w:tblGrid>
                  <w:tr>
                    <w:trPr>
                      <w:trHeight w:val="978" w:hRule="atLeast"/>
                    </w:trPr>
                    <w:tc>
                      <w:tcPr>
                        <w:tcW w:w="317" w:type="dxa"/>
                        <w:vAlign w:val="top"/>
                        <w:textDirection w:val="tbRlV"/>
                      </w:tcPr>
                      <w:p>
                        <w:pPr>
                          <w:pStyle w:val="TableText"/>
                          <w:ind w:left="129"/>
                          <w:spacing w:before="92" w:line="216" w:lineRule="auto"/>
                          <w:rPr/>
                        </w:pPr>
                        <w:r>
                          <w:rPr>
                            <w:color w:val="231F20"/>
                          </w:rPr>
                          <w:t>个人数据</w:t>
                        </w:r>
                      </w:p>
                    </w:tc>
                    <w:tc>
                      <w:tcPr>
                        <w:tcW w:w="267" w:type="dxa"/>
                        <w:vAlign w:val="top"/>
                        <w:textDirection w:val="tbRlV"/>
                      </w:tcPr>
                      <w:p>
                        <w:pPr>
                          <w:pStyle w:val="TableText"/>
                          <w:ind w:left="129"/>
                          <w:spacing w:before="55" w:line="216" w:lineRule="auto"/>
                          <w:rPr/>
                        </w:pPr>
                        <w:r>
                          <w:rPr>
                            <w:color w:val="231F20"/>
                          </w:rPr>
                          <w:t>企业数据</w:t>
                        </w:r>
                      </w:p>
                    </w:tc>
                    <w:tc>
                      <w:tcPr>
                        <w:tcW w:w="312" w:type="dxa"/>
                        <w:vAlign w:val="top"/>
                        <w:textDirection w:val="tbRlV"/>
                      </w:tcPr>
                      <w:p>
                        <w:pPr>
                          <w:pStyle w:val="TableText"/>
                          <w:ind w:left="129"/>
                          <w:spacing w:before="63" w:line="216" w:lineRule="auto"/>
                          <w:rPr/>
                        </w:pPr>
                        <w:r>
                          <w:rPr>
                            <w:color w:val="231F20"/>
                          </w:rPr>
                          <w:t>政府数据</w:t>
                        </w:r>
                      </w:p>
                    </w:tc>
                    <w:tc>
                      <w:tcPr>
                        <w:tcW w:w="273" w:type="dxa"/>
                        <w:vAlign w:val="top"/>
                        <w:textDirection w:val="tbRlV"/>
                      </w:tcPr>
                      <w:p>
                        <w:pPr>
                          <w:pStyle w:val="TableText"/>
                          <w:ind w:left="129"/>
                          <w:spacing w:before="34" w:line="216" w:lineRule="auto"/>
                          <w:rPr/>
                        </w:pPr>
                        <w:r>
                          <w:rPr>
                            <w:color w:val="231F20"/>
                          </w:rPr>
                          <w:t>公共数据</w:t>
                        </w:r>
                      </w:p>
                    </w:tc>
                  </w:tr>
                </w:tbl>
                <w:p>
                  <w:pPr>
                    <w:rPr>
                      <w:rFonts w:ascii="Arial"/>
                      <w:sz w:val="21"/>
                    </w:rPr>
                  </w:pPr>
                  <w:r/>
                </w:p>
              </w:txbxContent>
            </v:textbox>
          </v:shape>
        </w:pict>
      </w:r>
      <w:r>
        <w:drawing>
          <wp:anchor distT="0" distB="0" distL="0" distR="0" simplePos="0" relativeHeight="251801600" behindDoc="0" locked="0" layoutInCell="0" allowOverlap="1">
            <wp:simplePos x="0" y="0"/>
            <wp:positionH relativeFrom="page">
              <wp:posOffset>3961826</wp:posOffset>
            </wp:positionH>
            <wp:positionV relativeFrom="page">
              <wp:posOffset>5505657</wp:posOffset>
            </wp:positionV>
            <wp:extent cx="6350" cy="627888"/>
            <wp:effectExtent l="0" t="0" r="0" b="0"/>
            <wp:wrapNone/>
            <wp:docPr id="106" name="IM 106"/>
            <wp:cNvGraphicFramePr/>
            <a:graphic>
              <a:graphicData uri="http://schemas.openxmlformats.org/drawingml/2006/picture">
                <pic:pic>
                  <pic:nvPicPr>
                    <pic:cNvPr id="106" name="IM 106"/>
                    <pic:cNvPicPr/>
                  </pic:nvPicPr>
                  <pic:blipFill>
                    <a:blip r:embed="rId74"/>
                    <a:stretch>
                      <a:fillRect/>
                    </a:stretch>
                  </pic:blipFill>
                  <pic:spPr>
                    <a:xfrm rot="0">
                      <a:off x="0" y="0"/>
                      <a:ext cx="6350" cy="627888"/>
                    </a:xfrm>
                    <a:prstGeom prst="rect">
                      <a:avLst/>
                    </a:prstGeom>
                  </pic:spPr>
                </pic:pic>
              </a:graphicData>
            </a:graphic>
          </wp:anchor>
        </w:drawing>
      </w:r>
      <w:r>
        <w:drawing>
          <wp:anchor distT="0" distB="0" distL="0" distR="0" simplePos="0" relativeHeight="251804672" behindDoc="0" locked="0" layoutInCell="0" allowOverlap="1">
            <wp:simplePos x="0" y="0"/>
            <wp:positionH relativeFrom="page">
              <wp:posOffset>4347054</wp:posOffset>
            </wp:positionH>
            <wp:positionV relativeFrom="page">
              <wp:posOffset>5505657</wp:posOffset>
            </wp:positionV>
            <wp:extent cx="6350" cy="627888"/>
            <wp:effectExtent l="0" t="0" r="0" b="0"/>
            <wp:wrapNone/>
            <wp:docPr id="108" name="IM 108"/>
            <wp:cNvGraphicFramePr/>
            <a:graphic>
              <a:graphicData uri="http://schemas.openxmlformats.org/drawingml/2006/picture">
                <pic:pic>
                  <pic:nvPicPr>
                    <pic:cNvPr id="108" name="IM 108"/>
                    <pic:cNvPicPr/>
                  </pic:nvPicPr>
                  <pic:blipFill>
                    <a:blip r:embed="rId75"/>
                    <a:stretch>
                      <a:fillRect/>
                    </a:stretch>
                  </pic:blipFill>
                  <pic:spPr>
                    <a:xfrm rot="0">
                      <a:off x="0" y="0"/>
                      <a:ext cx="6350" cy="627888"/>
                    </a:xfrm>
                    <a:prstGeom prst="rect">
                      <a:avLst/>
                    </a:prstGeom>
                  </pic:spPr>
                </pic:pic>
              </a:graphicData>
            </a:graphic>
          </wp:anchor>
        </w:drawing>
      </w:r>
      <w:r>
        <w:pict>
          <v:shape id="_x0000_s134" style="position:absolute;margin-left:297.955pt;margin-top:432.266pt;mso-position-vertical-relative:page;mso-position-horizontal-relative:page;width:61pt;height:51.95pt;z-index:25178419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169" w:type="dxa"/>
                    <w:tblInd w:w="25" w:type="dxa"/>
                    <w:tblLayout w:type="fixed"/>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
                  <w:tblGrid>
                    <w:gridCol w:w="317"/>
                    <w:gridCol w:w="267"/>
                    <w:gridCol w:w="312"/>
                    <w:gridCol w:w="273"/>
                  </w:tblGrid>
                  <w:tr>
                    <w:trPr>
                      <w:trHeight w:val="978" w:hRule="atLeast"/>
                    </w:trPr>
                    <w:tc>
                      <w:tcPr>
                        <w:tcW w:w="317" w:type="dxa"/>
                        <w:vAlign w:val="top"/>
                        <w:textDirection w:val="tbRlV"/>
                      </w:tcPr>
                      <w:p>
                        <w:pPr>
                          <w:pStyle w:val="TableText"/>
                          <w:ind w:left="129"/>
                          <w:spacing w:before="92" w:line="216" w:lineRule="auto"/>
                          <w:rPr/>
                        </w:pPr>
                        <w:r>
                          <w:rPr>
                            <w:color w:val="231F20"/>
                          </w:rPr>
                          <w:t>法律法规</w:t>
                        </w:r>
                      </w:p>
                    </w:tc>
                    <w:tc>
                      <w:tcPr>
                        <w:tcW w:w="267" w:type="dxa"/>
                        <w:vAlign w:val="top"/>
                        <w:textDirection w:val="tbRlV"/>
                      </w:tcPr>
                      <w:p>
                        <w:pPr>
                          <w:pStyle w:val="TableText"/>
                          <w:ind w:left="129"/>
                          <w:spacing w:before="55" w:line="217" w:lineRule="auto"/>
                          <w:rPr/>
                        </w:pPr>
                        <w:r>
                          <w:rPr>
                            <w:color w:val="231F20"/>
                          </w:rPr>
                          <w:t>行业标准</w:t>
                        </w:r>
                      </w:p>
                    </w:tc>
                    <w:tc>
                      <w:tcPr>
                        <w:tcW w:w="312" w:type="dxa"/>
                        <w:vAlign w:val="top"/>
                        <w:textDirection w:val="tbRlV"/>
                      </w:tcPr>
                      <w:p>
                        <w:pPr>
                          <w:pStyle w:val="TableText"/>
                          <w:ind w:left="129"/>
                          <w:spacing w:before="64" w:line="217" w:lineRule="auto"/>
                          <w:rPr/>
                        </w:pPr>
                        <w:r>
                          <w:rPr>
                            <w:color w:val="231F20"/>
                          </w:rPr>
                          <w:t>企业制度</w:t>
                        </w:r>
                      </w:p>
                    </w:tc>
                    <w:tc>
                      <w:tcPr>
                        <w:tcW w:w="273" w:type="dxa"/>
                        <w:vAlign w:val="top"/>
                        <w:textDirection w:val="tbRlV"/>
                      </w:tcPr>
                      <w:p>
                        <w:pPr>
                          <w:pStyle w:val="TableText"/>
                          <w:ind w:left="129"/>
                          <w:spacing w:before="34" w:line="216" w:lineRule="auto"/>
                          <w:rPr/>
                        </w:pPr>
                        <w:r>
                          <w:rPr>
                            <w:color w:val="231F20"/>
                          </w:rPr>
                          <w:t>技术工具</w:t>
                        </w:r>
                      </w:p>
                    </w:tc>
                  </w:tr>
                </w:tbl>
                <w:p>
                  <w:pPr>
                    <w:rPr>
                      <w:rFonts w:ascii="Arial"/>
                      <w:sz w:val="21"/>
                    </w:rPr>
                  </w:pPr>
                  <w:r/>
                </w:p>
              </w:txbxContent>
            </v:textbox>
          </v:shape>
        </w:pict>
      </w:r>
      <w:r>
        <w:rPr>
          <w:rFonts w:ascii="Microsoft YaHei" w:hAnsi="Microsoft YaHei" w:eastAsia="Microsoft YaHei" w:cs="Microsoft YaHei"/>
          <w:sz w:val="18"/>
          <w:szCs w:val="18"/>
          <w:color w:val="4B4C4D"/>
          <w:spacing w:val="-2"/>
        </w:rPr>
        <w:t>第 </w:t>
      </w:r>
      <w:r>
        <w:rPr>
          <w:rFonts w:ascii="Arial" w:hAnsi="Arial" w:eastAsia="Arial" w:cs="Arial"/>
          <w:sz w:val="18"/>
          <w:szCs w:val="18"/>
          <w:b/>
          <w:bCs/>
          <w:color w:val="4B4C4D"/>
          <w:spacing w:val="-2"/>
        </w:rPr>
        <w:t>1 </w:t>
      </w:r>
      <w:r>
        <w:rPr>
          <w:rFonts w:ascii="Microsoft YaHei" w:hAnsi="Microsoft YaHei" w:eastAsia="Microsoft YaHei" w:cs="Microsoft YaHei"/>
          <w:sz w:val="18"/>
          <w:szCs w:val="18"/>
          <w:color w:val="4B4C4D"/>
          <w:spacing w:val="-2"/>
        </w:rPr>
        <w:t>章</w:t>
      </w:r>
      <w:r>
        <w:rPr>
          <w:rFonts w:ascii="Microsoft YaHei" w:hAnsi="Microsoft YaHei" w:eastAsia="Microsoft YaHei" w:cs="Microsoft YaHei"/>
          <w:sz w:val="18"/>
          <w:szCs w:val="18"/>
          <w:color w:val="4B4C4D"/>
          <w:spacing w:val="9"/>
        </w:rPr>
        <w:t xml:space="preserve">   </w:t>
      </w:r>
      <w:r>
        <w:rPr>
          <w:rFonts w:ascii="Microsoft YaHei" w:hAnsi="Microsoft YaHei" w:eastAsia="Microsoft YaHei" w:cs="Microsoft YaHei"/>
          <w:sz w:val="18"/>
          <w:szCs w:val="18"/>
          <w:color w:val="4B4C4D"/>
          <w:spacing w:val="-2"/>
        </w:rPr>
        <w:t>数据与数据治理  </w:t>
      </w:r>
      <w:r>
        <w:rPr>
          <w:sz w:val="18"/>
          <w:szCs w:val="18"/>
          <w:position w:val="-2"/>
        </w:rPr>
        <w:drawing>
          <wp:inline distT="0" distB="0" distL="0" distR="0">
            <wp:extent cx="339153" cy="105117"/>
            <wp:effectExtent l="0" t="0" r="0" b="0"/>
            <wp:docPr id="110" name="IM 110"/>
            <wp:cNvGraphicFramePr/>
            <a:graphic>
              <a:graphicData uri="http://schemas.openxmlformats.org/drawingml/2006/picture">
                <pic:pic>
                  <pic:nvPicPr>
                    <pic:cNvPr id="110" name="IM 110"/>
                    <pic:cNvPicPr/>
                  </pic:nvPicPr>
                  <pic:blipFill>
                    <a:blip r:embed="rId76"/>
                    <a:stretch>
                      <a:fillRect/>
                    </a:stretch>
                  </pic:blipFill>
                  <pic:spPr>
                    <a:xfrm rot="0">
                      <a:off x="0" y="0"/>
                      <a:ext cx="339153" cy="105117"/>
                    </a:xfrm>
                    <a:prstGeom prst="rect">
                      <a:avLst/>
                    </a:prstGeom>
                  </pic:spPr>
                </pic:pic>
              </a:graphicData>
            </a:graphic>
          </wp:inline>
        </w:drawing>
      </w:r>
    </w:p>
    <w:p>
      <w:pPr>
        <w:spacing w:line="245" w:lineRule="auto"/>
        <w:rPr>
          <w:rFonts w:ascii="Arial"/>
          <w:sz w:val="21"/>
        </w:rPr>
      </w:pPr>
      <w:r/>
    </w:p>
    <w:p>
      <w:pPr>
        <w:ind w:left="25"/>
        <w:spacing w:before="99" w:line="207" w:lineRule="auto"/>
        <w:rPr>
          <w:sz w:val="23"/>
          <w:szCs w:val="23"/>
        </w:rPr>
      </w:pPr>
      <w:r>
        <w:rPr>
          <w:rFonts w:ascii="Arial" w:hAnsi="Arial" w:eastAsia="Arial" w:cs="Arial"/>
          <w:sz w:val="23"/>
          <w:szCs w:val="23"/>
          <w:color w:val="231F20"/>
          <w:spacing w:val="-2"/>
        </w:rPr>
        <w:t>1.2.3</w:t>
      </w:r>
      <w:r>
        <w:rPr>
          <w:rFonts w:ascii="Arial" w:hAnsi="Arial" w:eastAsia="Arial" w:cs="Arial"/>
          <w:sz w:val="23"/>
          <w:szCs w:val="23"/>
          <w:color w:val="231F20"/>
          <w:spacing w:val="15"/>
        </w:rPr>
        <w:t xml:space="preserve">   </w:t>
      </w:r>
      <w:r>
        <w:rPr>
          <w:rFonts w:ascii="Microsoft YaHei" w:hAnsi="Microsoft YaHei" w:eastAsia="Microsoft YaHei" w:cs="Microsoft YaHei"/>
          <w:sz w:val="23"/>
          <w:szCs w:val="23"/>
          <w:color w:val="231F20"/>
          <w:spacing w:val="-2"/>
        </w:rPr>
        <w:t>数据治理工作的内容与范围</w:t>
      </w:r>
      <w:r>
        <w:rPr>
          <w:rFonts w:ascii="Microsoft YaHei" w:hAnsi="Microsoft YaHei" w:eastAsia="Microsoft YaHei" w:cs="Microsoft YaHei"/>
          <w:sz w:val="23"/>
          <w:szCs w:val="23"/>
          <w:color w:val="231F20"/>
          <w:spacing w:val="-28"/>
        </w:rPr>
        <w:t xml:space="preserve"> </w:t>
      </w:r>
      <w:r>
        <w:rPr>
          <w:sz w:val="23"/>
          <w:szCs w:val="23"/>
          <w:position w:val="-6"/>
        </w:rPr>
        <w:drawing>
          <wp:inline distT="0" distB="0" distL="0" distR="0">
            <wp:extent cx="70198" cy="187197"/>
            <wp:effectExtent l="0" t="0" r="0" b="0"/>
            <wp:docPr id="112" name="IM 112"/>
            <wp:cNvGraphicFramePr/>
            <a:graphic>
              <a:graphicData uri="http://schemas.openxmlformats.org/drawingml/2006/picture">
                <pic:pic>
                  <pic:nvPicPr>
                    <pic:cNvPr id="112" name="IM 112"/>
                    <pic:cNvPicPr/>
                  </pic:nvPicPr>
                  <pic:blipFill>
                    <a:blip r:embed="rId77"/>
                    <a:stretch>
                      <a:fillRect/>
                    </a:stretch>
                  </pic:blipFill>
                  <pic:spPr>
                    <a:xfrm rot="0">
                      <a:off x="0" y="0"/>
                      <a:ext cx="70198" cy="187197"/>
                    </a:xfrm>
                    <a:prstGeom prst="rect">
                      <a:avLst/>
                    </a:prstGeom>
                  </pic:spPr>
                </pic:pic>
              </a:graphicData>
            </a:graphic>
          </wp:inline>
        </w:drawing>
      </w:r>
    </w:p>
    <w:p>
      <w:pPr>
        <w:pStyle w:val="BodyText"/>
        <w:ind w:left="449"/>
        <w:spacing w:before="176" w:line="220" w:lineRule="auto"/>
        <w:rPr/>
      </w:pPr>
      <w:r>
        <w:pict>
          <v:shape id="_x0000_s136" style="position:absolute;margin-left:42.544pt;margin-top:9.27344pt;mso-position-vertical-relative:text;mso-position-horizontal-relative:text;width:30.95pt;height:9.75pt;z-index:-251536384;" filled="false" strokecolor="#231F20" strokeweight="0.17pt" coordsize="619,195" coordorigin="0,0" path="m108,187l108,173l164,173l164,191l175,184c175,172,174,155,174,133l181,128l169,118l163,125l141,125l141,92l192,92l178,78l169,87l141,87l141,70l148,65l130,57c131,67,131,77,131,87l93,87c94,74,95,62,95,52l164,52l164,62l175,57c175,49,174,37,174,21l181,17l169,6l163,13l96,13l83,5c84,17,84,36,84,62c83,89,80,112,74,132c68,152,58,170,46,186l49,188c74,163,88,131,92,92l131,92l131,125l108,125l96,119c97,129,97,141,97,154c97,168,97,180,96,192l108,187xm164,47l95,47l95,18l164,18l164,47xm164,169l108,169l108,130l164,130l164,169xm49,54l81,54l68,40l58,49l49,49l49,17l55,11l36,1c37,11,37,26,37,49l2,49l9,55l18,54l37,54l37,96c16,106,4,111,1,112l13,127c14,123,22,116,37,105l37,164c37,167,36,170,33,170c30,170,22,169,10,167l10,170c25,176,32,182,31,187c42,183,48,176,49,166l49,100l77,78l76,75l49,91l49,54xm434,167l441,160c462,150,482,140,503,131l502,128l469,139l469,87l501,87l487,73l477,82l469,82l469,32l501,32l487,18l477,27l425,27l433,35c439,33,445,32,452,32l458,32l458,82l427,82l434,90c440,88,447,87,454,87l458,87l458,142c452,144,441,148,424,152l434,167xm516,108l516,100l547,100l547,135l502,135l509,142c515,141,522,140,529,140l547,140l547,173l478,173l485,181c491,179,498,178,505,178l616,178l602,163l591,173l557,173l557,140l604,140l590,125l580,135l557,135l557,100l586,100l586,109l597,105c596,95,596,81,596,64l596,25l602,20l590,10l584,18l516,18l506,10c506,28,507,45,507,61c507,77,506,94,506,112l516,108xm547,55l516,55l516,23l547,23l547,55xm586,55l557,55l557,23l586,23l586,55xm547,95l516,95l516,60l547,60l547,95xm586,95l557,95l557,60l586,60l586,95xe">
            <v:stroke joinstyle="miter" miterlimit="4"/>
          </v:shape>
        </w:pict>
      </w:r>
      <w:r>
        <w:rPr>
          <w:rFonts w:ascii="Times New Roman" w:hAnsi="Times New Roman" w:eastAsia="Times New Roman" w:cs="Times New Roman"/>
          <w:color w:val="231F20"/>
          <w:spacing w:val="-3"/>
        </w:rPr>
        <w:t>1. </w:t>
      </w:r>
      <w:r>
        <w:rPr>
          <w:color w:val="231F20"/>
          <w:spacing w:val="-3"/>
        </w:rPr>
        <w:t>数据治理工作的内容</w:t>
      </w:r>
    </w:p>
    <w:p>
      <w:pPr>
        <w:pStyle w:val="BodyText"/>
        <w:ind w:left="7" w:right="643" w:firstLine="427"/>
        <w:spacing w:before="69" w:line="278" w:lineRule="auto"/>
        <w:rPr/>
      </w:pPr>
      <w:r>
        <w:rPr>
          <w:color w:val="231F20"/>
        </w:rPr>
        <w:t>数据治理工作的内容是指数据治理的落脚点。国际数据管理协会指出，数据治理的主</w:t>
      </w:r>
      <w:r>
        <w:rPr>
          <w:color w:val="231F20"/>
          <w:spacing w:val="15"/>
        </w:rPr>
        <w:t xml:space="preserve"> </w:t>
      </w:r>
      <w:r>
        <w:rPr>
          <w:color w:val="231F20"/>
        </w:rPr>
        <w:t>要内容包括数据架构管理、数据质量管理、元数据管理、文档与内容管理、数据仓库与商</w:t>
      </w:r>
      <w:r>
        <w:rPr>
          <w:color w:val="231F20"/>
          <w:spacing w:val="6"/>
        </w:rPr>
        <w:t xml:space="preserve"> </w:t>
      </w:r>
      <w:r>
        <w:rPr>
          <w:color w:val="231F20"/>
        </w:rPr>
        <w:t>业智能管理、主数据管理、数据安全管理等。国际数据治理研究所指出，数据治理核心领</w:t>
      </w:r>
      <w:r>
        <w:rPr>
          <w:color w:val="231F20"/>
          <w:spacing w:val="12"/>
        </w:rPr>
        <w:t xml:space="preserve"> </w:t>
      </w:r>
      <w:r>
        <w:rPr>
          <w:color w:val="231F20"/>
        </w:rPr>
        <w:t>域包括：政策、标准和策略；数据质量；隐私、合规和安全；架构和集成；数据仓库和商</w:t>
      </w:r>
      <w:r>
        <w:rPr>
          <w:color w:val="231F20"/>
          <w:spacing w:val="10"/>
        </w:rPr>
        <w:t xml:space="preserve"> </w:t>
      </w:r>
      <w:r>
        <w:rPr>
          <w:color w:val="231F20"/>
        </w:rPr>
        <w:t>务智能；管理支持。全国信息技术标准化技术委员会指出，数据治理的内容包括数据管理</w:t>
      </w:r>
      <w:r>
        <w:rPr>
          <w:color w:val="231F20"/>
          <w:spacing w:val="13"/>
        </w:rPr>
        <w:t xml:space="preserve"> </w:t>
      </w:r>
      <w:r>
        <w:rPr>
          <w:color w:val="231F20"/>
        </w:rPr>
        <w:t>体系和数据价值体系，其中数据管理体系包括数据标准、数据质量、数据安全、元数据管</w:t>
      </w:r>
      <w:r>
        <w:rPr>
          <w:color w:val="231F20"/>
          <w:spacing w:val="8"/>
        </w:rPr>
        <w:t xml:space="preserve"> </w:t>
      </w:r>
      <w:r>
        <w:rPr>
          <w:color w:val="231F20"/>
        </w:rPr>
        <w:t>理和数据生存周期，数据价值体系包括数据流通、数据服务、数据洞察等。尽管不同领域</w:t>
      </w:r>
      <w:r>
        <w:rPr>
          <w:color w:val="231F20"/>
          <w:spacing w:val="11"/>
        </w:rPr>
        <w:t xml:space="preserve"> </w:t>
      </w:r>
      <w:r>
        <w:rPr>
          <w:color w:val="231F20"/>
        </w:rPr>
        <w:t>的数据治理内容各不相同，但从当前学界研究和实践应用的共识来看，数</w:t>
      </w:r>
      <w:r>
        <w:rPr>
          <w:color w:val="231F20"/>
          <w:spacing w:val="-1"/>
        </w:rPr>
        <w:t>据治理的主要内</w:t>
      </w:r>
      <w:r>
        <w:rPr>
          <w:color w:val="231F20"/>
        </w:rPr>
        <w:t xml:space="preserve"> </w:t>
      </w:r>
      <w:r>
        <w:rPr>
          <w:color w:val="231F20"/>
          <w:spacing w:val="-1"/>
        </w:rPr>
        <w:t>容需含有元数据管理、主数据管理、数据质量管理、数据安全管理</w:t>
      </w:r>
      <w:r>
        <w:rPr>
          <w:color w:val="231F20"/>
          <w:spacing w:val="-48"/>
        </w:rPr>
        <w:t xml:space="preserve"> </w:t>
      </w:r>
      <w:r>
        <w:rPr>
          <w:rFonts w:ascii="Times New Roman" w:hAnsi="Times New Roman" w:eastAsia="Times New Roman" w:cs="Times New Roman"/>
          <w:color w:val="231F20"/>
          <w:spacing w:val="-1"/>
        </w:rPr>
        <w:t>4 </w:t>
      </w:r>
      <w:r>
        <w:rPr>
          <w:color w:val="231F20"/>
          <w:spacing w:val="-1"/>
        </w:rPr>
        <w:t>个基础方面。</w:t>
      </w:r>
    </w:p>
    <w:p>
      <w:pPr>
        <w:pStyle w:val="BodyText"/>
        <w:ind w:left="429"/>
        <w:spacing w:before="74" w:line="220" w:lineRule="auto"/>
        <w:rPr/>
      </w:pPr>
      <w:r>
        <w:pict>
          <v:shape id="_x0000_s138" style="position:absolute;margin-left:42.544pt;margin-top:4.13138pt;mso-position-vertical-relative:text;mso-position-horizontal-relative:text;width:30.95pt;height:9.75pt;z-index:-251535360;" filled="false" strokecolor="#231F20" strokeweight="0.17pt" coordsize="619,195" coordorigin="0,0" path="m108,187l108,173l164,173l164,191l175,184c175,172,174,155,174,133l181,128l169,118l163,125l141,125l141,92l192,92l178,78l169,87l141,87l141,70l148,65l130,57c131,67,131,77,131,87l93,87c94,74,95,62,95,52l164,52l164,62l175,57c175,49,174,37,174,21l181,17l169,6l163,13l96,13l83,5c84,17,84,36,84,62c83,89,80,112,74,132c68,152,58,170,46,186l49,188c74,163,88,131,92,92l131,92l131,125l108,125l96,119c97,129,97,141,97,154c97,168,97,180,96,192l108,187xm164,47l95,47l95,18l164,18l164,47xm164,169l108,169l108,130l164,130l164,169xm49,54l81,54l68,40l58,49l49,49l49,17l55,11l36,1c37,11,37,26,37,49l2,49l9,55l18,54l37,54l37,96c16,106,4,111,1,112l13,127c14,123,22,116,37,105l37,164c37,167,36,170,33,170c30,170,22,169,10,167l10,170c25,176,32,182,31,187c42,183,48,176,49,166l49,100l77,78l76,75l49,91l49,54xm434,167l441,160c462,150,482,140,503,131l502,128l469,139l469,87l501,87l487,73l477,82l469,82l469,32l501,32l487,18l477,27l425,27l433,35c439,33,445,32,452,32l458,32l458,82l427,82l434,90c440,88,447,87,454,87l458,87l458,142c452,144,441,148,424,152l434,167xm516,108l516,100l547,100l547,135l502,135l509,142c515,141,522,140,529,140l547,140l547,173l478,173l485,181c491,179,498,178,505,178l616,178l602,163l591,173l557,173l557,140l604,140l590,125l580,135l557,135l557,100l586,100l586,109l597,105c596,95,596,81,596,64l596,25l602,20l590,10l584,18l516,18l506,10c506,28,507,45,507,61c507,77,506,94,506,112l516,108xm547,55l516,55l516,23l547,23l547,55xm586,55l557,55l557,23l586,23l586,55xm547,95l516,95l516,60l547,60l547,95xm586,95l557,95l557,60l586,60l586,95xe">
            <v:stroke joinstyle="miter" miterlimit="4"/>
          </v:shape>
        </w:pict>
      </w:r>
      <w:r>
        <w:rPr>
          <w:rFonts w:ascii="Times New Roman" w:hAnsi="Times New Roman" w:eastAsia="Times New Roman" w:cs="Times New Roman"/>
          <w:color w:val="231F20"/>
          <w:spacing w:val="1"/>
        </w:rPr>
        <w:t>2. </w:t>
      </w:r>
      <w:r>
        <w:rPr>
          <w:color w:val="231F20"/>
          <w:spacing w:val="1"/>
        </w:rPr>
        <w:t>数据治理工作的范围</w:t>
      </w:r>
    </w:p>
    <w:p>
      <w:pPr>
        <w:pStyle w:val="BodyText"/>
        <w:ind w:left="8" w:right="643" w:firstLine="426"/>
        <w:spacing w:before="71" w:line="276" w:lineRule="auto"/>
        <w:rPr/>
      </w:pPr>
      <w:r>
        <w:rPr>
          <w:color w:val="231F20"/>
        </w:rPr>
        <w:t>数据治理工作是在国际协作、国家治理、行业监督和企业管理中，为</w:t>
      </w:r>
      <w:r>
        <w:rPr>
          <w:color w:val="231F20"/>
          <w:spacing w:val="-1"/>
        </w:rPr>
        <w:t>了提升数据的质</w:t>
      </w:r>
      <w:r>
        <w:rPr>
          <w:color w:val="231F20"/>
        </w:rPr>
        <w:t xml:space="preserve"> </w:t>
      </w:r>
      <w:r>
        <w:rPr>
          <w:color w:val="231F20"/>
        </w:rPr>
        <w:t>量、降低数据管理成本、保障数据安全和管控数据风险，针对公共数据、政府数据、企业</w:t>
      </w:r>
      <w:r>
        <w:rPr>
          <w:color w:val="231F20"/>
          <w:spacing w:val="11"/>
        </w:rPr>
        <w:t xml:space="preserve"> </w:t>
      </w:r>
      <w:r>
        <w:rPr>
          <w:color w:val="231F20"/>
        </w:rPr>
        <w:t>数据和个人数据的采集、存储、应用和流通等一系列环节，利用各类工具方法进行有效管</w:t>
      </w:r>
      <w:r>
        <w:rPr>
          <w:color w:val="231F20"/>
          <w:spacing w:val="8"/>
        </w:rPr>
        <w:t xml:space="preserve"> </w:t>
      </w:r>
      <w:r>
        <w:rPr>
          <w:color w:val="231F20"/>
          <w:spacing w:val="1"/>
        </w:rPr>
        <w:t>理，主要包括法律法规、行业标准、企业制度、</w:t>
      </w:r>
      <w:r>
        <w:rPr>
          <w:color w:val="231F20"/>
        </w:rPr>
        <w:t>技术工具等。为明确数据治理的范围，利 </w:t>
      </w:r>
      <w:r>
        <w:rPr>
          <w:color w:val="231F20"/>
          <w:spacing w:val="2"/>
        </w:rPr>
        <w:t>用数据和治理“</w:t>
      </w:r>
      <w:r>
        <w:rPr>
          <w:rFonts w:ascii="Times New Roman" w:hAnsi="Times New Roman" w:eastAsia="Times New Roman" w:cs="Times New Roman"/>
          <w:color w:val="231F20"/>
          <w:spacing w:val="2"/>
        </w:rPr>
        <w:t>4W1H</w:t>
      </w:r>
      <w:r>
        <w:rPr>
          <w:color w:val="231F20"/>
          <w:spacing w:val="2"/>
        </w:rPr>
        <w:t>”模型进行说明，如图 </w:t>
      </w:r>
      <w:r>
        <w:rPr>
          <w:rFonts w:ascii="Times New Roman" w:hAnsi="Times New Roman" w:eastAsia="Times New Roman" w:cs="Times New Roman"/>
          <w:color w:val="231F20"/>
          <w:spacing w:val="2"/>
        </w:rPr>
        <w:t>1.4 </w:t>
      </w:r>
      <w:r>
        <w:rPr>
          <w:color w:val="231F20"/>
          <w:spacing w:val="2"/>
        </w:rPr>
        <w:t>所示。遵循数据治理的概念</w:t>
      </w:r>
      <w:r>
        <w:rPr>
          <w:color w:val="231F20"/>
          <w:spacing w:val="1"/>
        </w:rPr>
        <w:t>内涵及标准</w:t>
      </w:r>
      <w:r>
        <w:rPr>
          <w:color w:val="231F20"/>
        </w:rPr>
        <w:t xml:space="preserve"> </w:t>
      </w:r>
      <w:r>
        <w:rPr>
          <w:color w:val="231F20"/>
        </w:rPr>
        <w:t>化的自身含义，数据治理为政府、企业、个人提供服务，保障各类数据全生命周期的有序</w:t>
      </w:r>
      <w:r>
        <w:rPr>
          <w:color w:val="231F20"/>
          <w:spacing w:val="6"/>
        </w:rPr>
        <w:t xml:space="preserve"> </w:t>
      </w:r>
      <w:r>
        <w:rPr>
          <w:color w:val="231F20"/>
          <w:spacing w:val="-9"/>
        </w:rPr>
        <w:t>运转。</w:t>
      </w:r>
    </w:p>
    <w:p>
      <w:pPr>
        <w:spacing w:before="1"/>
        <w:rPr/>
      </w:pPr>
      <w:r/>
    </w:p>
    <w:tbl>
      <w:tblPr>
        <w:tblStyle w:val="TableNormal"/>
        <w:tblW w:w="6474" w:type="dxa"/>
        <w:tblInd w:w="872" w:type="dxa"/>
        <w:tblLayout w:type="fixed"/>
        <w:tblBorders>
          <w:left w:val="single" w:color="231F20" w:sz="2" w:space="0"/>
          <w:bottom w:val="single" w:color="231F20" w:sz="4" w:space="0"/>
          <w:right w:val="single" w:color="231F20" w:sz="2" w:space="0"/>
          <w:top w:val="single" w:color="231F20" w:sz="2" w:space="0"/>
        </w:tblBorders>
      </w:tblPr>
      <w:tblGrid>
        <w:gridCol w:w="6474"/>
      </w:tblGrid>
      <w:tr>
        <w:trPr>
          <w:trHeight w:val="299" w:hRule="atLeast"/>
        </w:trPr>
        <w:tc>
          <w:tcPr>
            <w:tcW w:w="6474" w:type="dxa"/>
            <w:vAlign w:val="top"/>
          </w:tcPr>
          <w:p>
            <w:pPr>
              <w:pStyle w:val="TableText"/>
              <w:ind w:left="2280"/>
              <w:spacing w:before="52" w:line="220" w:lineRule="auto"/>
              <w:rPr/>
            </w:pPr>
            <w:r>
              <w:rPr>
                <w:color w:val="231F20"/>
                <w:spacing w:val="-1"/>
              </w:rPr>
              <w:t>数据治理（</w:t>
            </w:r>
            <w:r>
              <w:rPr>
                <w:rFonts w:ascii="Times New Roman" w:hAnsi="Times New Roman" w:eastAsia="Times New Roman" w:cs="Times New Roman"/>
                <w:color w:val="231F20"/>
                <w:spacing w:val="-1"/>
              </w:rPr>
              <w:t>Data Governance</w:t>
            </w:r>
            <w:r>
              <w:rPr>
                <w:color w:val="231F20"/>
                <w:spacing w:val="-1"/>
              </w:rPr>
              <w:t>）</w:t>
            </w:r>
          </w:p>
        </w:tc>
      </w:tr>
    </w:tbl>
    <w:p>
      <w:pPr>
        <w:spacing w:line="103" w:lineRule="exact"/>
        <w:rPr/>
      </w:pPr>
      <w:r/>
    </w:p>
    <w:tbl>
      <w:tblPr>
        <w:tblStyle w:val="TableNormal"/>
        <w:tblW w:w="1172" w:type="dxa"/>
        <w:tblInd w:w="872" w:type="dxa"/>
        <w:tblLayout w:type="fixed"/>
        <w:tblBorders>
          <w:left w:val="single" w:color="231F20" w:sz="2" w:space="0"/>
          <w:bottom w:val="single" w:color="231F20" w:sz="4" w:space="0"/>
          <w:right w:val="single" w:color="231F20" w:sz="4" w:space="0"/>
          <w:top w:val="single" w:color="231F20" w:sz="4" w:space="0"/>
        </w:tblBorders>
      </w:tblPr>
      <w:tblGrid>
        <w:gridCol w:w="1172"/>
      </w:tblGrid>
      <w:tr>
        <w:trPr>
          <w:trHeight w:val="295" w:hRule="atLeast"/>
        </w:trPr>
        <w:tc>
          <w:tcPr>
            <w:tcW w:w="1172" w:type="dxa"/>
            <w:vAlign w:val="top"/>
          </w:tcPr>
          <w:p>
            <w:pPr>
              <w:pStyle w:val="TableText"/>
              <w:ind w:left="249"/>
              <w:spacing w:before="15" w:line="236" w:lineRule="exact"/>
              <w:rPr>
                <w:rFonts w:ascii="Times New Roman" w:hAnsi="Times New Roman" w:eastAsia="Times New Roman" w:cs="Times New Roman"/>
              </w:rPr>
            </w:pPr>
            <w:r>
              <w:rPr>
                <w:color w:val="231F20"/>
                <w:spacing w:val="-2"/>
                <w:position w:val="1"/>
              </w:rPr>
              <w:t>主体</w:t>
            </w:r>
            <w:r>
              <w:rPr>
                <w:rFonts w:ascii="Times New Roman" w:hAnsi="Times New Roman" w:eastAsia="Times New Roman" w:cs="Times New Roman"/>
                <w:color w:val="231F20"/>
                <w:spacing w:val="-2"/>
                <w:position w:val="1"/>
              </w:rPr>
              <w:t>who</w:t>
            </w:r>
          </w:p>
        </w:tc>
      </w:tr>
    </w:tbl>
    <w:p>
      <w:pPr>
        <w:spacing w:line="84" w:lineRule="exact"/>
        <w:rPr/>
      </w:pPr>
      <w:r/>
    </w:p>
    <w:tbl>
      <w:tblPr>
        <w:tblStyle w:val="TableNormal"/>
        <w:tblW w:w="1172" w:type="dxa"/>
        <w:tblInd w:w="872" w:type="dxa"/>
        <w:tblLayout w:type="fixed"/>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
      <w:tblGrid>
        <w:gridCol w:w="318"/>
        <w:gridCol w:w="268"/>
        <w:gridCol w:w="313"/>
        <w:gridCol w:w="273"/>
      </w:tblGrid>
      <w:tr>
        <w:trPr>
          <w:trHeight w:val="978" w:hRule="atLeast"/>
        </w:trPr>
        <w:tc>
          <w:tcPr>
            <w:tcW w:w="318" w:type="dxa"/>
            <w:vAlign w:val="top"/>
            <w:textDirection w:val="tbRlV"/>
            <w:tcBorders>
              <w:left w:val="single" w:color="231F20" w:sz="2" w:space="0"/>
            </w:tcBorders>
          </w:tcPr>
          <w:p>
            <w:pPr>
              <w:pStyle w:val="TableText"/>
              <w:ind w:left="129"/>
              <w:spacing w:before="90" w:line="216" w:lineRule="auto"/>
              <w:rPr/>
            </w:pPr>
            <w:r>
              <w:drawing>
                <wp:anchor distT="0" distB="0" distL="0" distR="0" simplePos="0" relativeHeight="251799552" behindDoc="0" locked="0" layoutInCell="1" allowOverlap="1">
                  <wp:simplePos x="0" y="0"/>
                  <wp:positionH relativeFrom="rightMargin">
                    <wp:posOffset>-35252</wp:posOffset>
                  </wp:positionH>
                  <wp:positionV relativeFrom="topMargin">
                    <wp:posOffset>-3175</wp:posOffset>
                  </wp:positionV>
                  <wp:extent cx="6350" cy="627888"/>
                  <wp:effectExtent l="0" t="0" r="0" b="0"/>
                  <wp:wrapNone/>
                  <wp:docPr id="114" name="IM 114"/>
                  <wp:cNvGraphicFramePr/>
                  <a:graphic>
                    <a:graphicData uri="http://schemas.openxmlformats.org/drawingml/2006/picture">
                      <pic:pic>
                        <pic:nvPicPr>
                          <pic:cNvPr id="114" name="IM 114"/>
                          <pic:cNvPicPr/>
                        </pic:nvPicPr>
                        <pic:blipFill>
                          <a:blip r:embed="rId78"/>
                          <a:stretch>
                            <a:fillRect/>
                          </a:stretch>
                        </pic:blipFill>
                        <pic:spPr>
                          <a:xfrm rot="0">
                            <a:off x="0" y="0"/>
                            <a:ext cx="6350" cy="627888"/>
                          </a:xfrm>
                          <a:prstGeom prst="rect">
                            <a:avLst/>
                          </a:prstGeom>
                        </pic:spPr>
                      </pic:pic>
                    </a:graphicData>
                  </a:graphic>
                </wp:anchor>
              </w:drawing>
            </w:r>
            <w:r>
              <w:rPr>
                <w:color w:val="231F20"/>
              </w:rPr>
              <w:t>企业管理</w:t>
            </w:r>
          </w:p>
        </w:tc>
        <w:tc>
          <w:tcPr>
            <w:tcW w:w="268" w:type="dxa"/>
            <w:vAlign w:val="top"/>
            <w:textDirection w:val="tbRlV"/>
          </w:tcPr>
          <w:p>
            <w:pPr>
              <w:pStyle w:val="TableText"/>
              <w:ind w:left="129"/>
              <w:spacing w:before="55" w:line="216" w:lineRule="auto"/>
              <w:rPr/>
            </w:pPr>
            <w:r>
              <w:rPr>
                <w:color w:val="231F20"/>
              </w:rPr>
              <w:t>行业自律</w:t>
            </w:r>
          </w:p>
        </w:tc>
        <w:tc>
          <w:tcPr>
            <w:tcW w:w="313" w:type="dxa"/>
            <w:vAlign w:val="top"/>
            <w:textDirection w:val="tbRlV"/>
          </w:tcPr>
          <w:p>
            <w:pPr>
              <w:pStyle w:val="TableText"/>
              <w:ind w:left="129"/>
              <w:spacing w:before="64" w:line="217" w:lineRule="auto"/>
              <w:rPr/>
            </w:pPr>
            <w:r>
              <w:drawing>
                <wp:anchor distT="0" distB="0" distL="0" distR="0" simplePos="0" relativeHeight="251800576" behindDoc="0" locked="0" layoutInCell="1" allowOverlap="1">
                  <wp:simplePos x="0" y="0"/>
                  <wp:positionH relativeFrom="rightMargin">
                    <wp:posOffset>-18958</wp:posOffset>
                  </wp:positionH>
                  <wp:positionV relativeFrom="topMargin">
                    <wp:posOffset>-3175</wp:posOffset>
                  </wp:positionV>
                  <wp:extent cx="6350" cy="627888"/>
                  <wp:effectExtent l="0" t="0" r="0" b="0"/>
                  <wp:wrapNone/>
                  <wp:docPr id="116" name="IM 116"/>
                  <wp:cNvGraphicFramePr/>
                  <a:graphic>
                    <a:graphicData uri="http://schemas.openxmlformats.org/drawingml/2006/picture">
                      <pic:pic>
                        <pic:nvPicPr>
                          <pic:cNvPr id="116" name="IM 116"/>
                          <pic:cNvPicPr/>
                        </pic:nvPicPr>
                        <pic:blipFill>
                          <a:blip r:embed="rId79"/>
                          <a:stretch>
                            <a:fillRect/>
                          </a:stretch>
                        </pic:blipFill>
                        <pic:spPr>
                          <a:xfrm rot="0">
                            <a:off x="0" y="0"/>
                            <a:ext cx="6350" cy="627888"/>
                          </a:xfrm>
                          <a:prstGeom prst="rect">
                            <a:avLst/>
                          </a:prstGeom>
                        </pic:spPr>
                      </pic:pic>
                    </a:graphicData>
                  </a:graphic>
                </wp:anchor>
              </w:drawing>
            </w:r>
            <w:r>
              <w:rPr>
                <w:color w:val="231F20"/>
              </w:rPr>
              <w:t>国家监督</w:t>
            </w:r>
          </w:p>
        </w:tc>
        <w:tc>
          <w:tcPr>
            <w:tcW w:w="273" w:type="dxa"/>
            <w:vAlign w:val="top"/>
            <w:textDirection w:val="tbRlV"/>
          </w:tcPr>
          <w:p>
            <w:pPr>
              <w:pStyle w:val="TableText"/>
              <w:ind w:left="129"/>
              <w:spacing w:before="34" w:line="217" w:lineRule="auto"/>
              <w:rPr/>
            </w:pPr>
            <w:r>
              <w:rPr>
                <w:color w:val="231F20"/>
              </w:rPr>
              <w:t>国际协作</w:t>
            </w:r>
          </w:p>
        </w:tc>
      </w:tr>
    </w:tbl>
    <w:p>
      <w:pPr>
        <w:pStyle w:val="BodyText"/>
        <w:ind w:left="3189"/>
        <w:spacing w:before="122" w:line="220" w:lineRule="auto"/>
        <w:rPr>
          <w:sz w:val="18"/>
          <w:szCs w:val="18"/>
        </w:rPr>
      </w:pPr>
      <w:r>
        <w:rPr>
          <w:sz w:val="18"/>
          <w:szCs w:val="18"/>
          <w:color w:val="231F20"/>
          <w:spacing w:val="-3"/>
        </w:rPr>
        <w:t>图</w:t>
      </w:r>
      <w:r>
        <w:rPr>
          <w:sz w:val="18"/>
          <w:szCs w:val="18"/>
          <w:color w:val="231F20"/>
          <w:spacing w:val="-24"/>
        </w:rPr>
        <w:t xml:space="preserve"> </w:t>
      </w:r>
      <w:r>
        <w:rPr>
          <w:rFonts w:ascii="Times New Roman" w:hAnsi="Times New Roman" w:eastAsia="Times New Roman" w:cs="Times New Roman"/>
          <w:sz w:val="18"/>
          <w:szCs w:val="18"/>
          <w:color w:val="231F20"/>
          <w:spacing w:val="-3"/>
        </w:rPr>
        <w:t>1.4    </w:t>
      </w:r>
      <w:r>
        <w:rPr>
          <w:sz w:val="18"/>
          <w:szCs w:val="18"/>
          <w:color w:val="231F20"/>
          <w:spacing w:val="-3"/>
        </w:rPr>
        <w:t>数据治理的范围</w:t>
      </w:r>
    </w:p>
    <w:p>
      <w:pPr>
        <w:spacing w:line="247" w:lineRule="auto"/>
        <w:rPr>
          <w:rFonts w:ascii="Arial"/>
          <w:sz w:val="21"/>
        </w:rPr>
      </w:pPr>
      <w:r/>
    </w:p>
    <w:p>
      <w:pPr>
        <w:ind w:left="25"/>
        <w:spacing w:before="99" w:line="192" w:lineRule="auto"/>
        <w:rPr>
          <w:sz w:val="23"/>
          <w:szCs w:val="23"/>
        </w:rPr>
      </w:pPr>
      <w:r>
        <w:rPr>
          <w:rFonts w:ascii="Arial" w:hAnsi="Arial" w:eastAsia="Arial" w:cs="Arial"/>
          <w:sz w:val="23"/>
          <w:szCs w:val="23"/>
          <w:color w:val="231F20"/>
          <w:spacing w:val="-2"/>
        </w:rPr>
        <w:t>1.2.4</w:t>
      </w:r>
      <w:r>
        <w:rPr>
          <w:rFonts w:ascii="Arial" w:hAnsi="Arial" w:eastAsia="Arial" w:cs="Arial"/>
          <w:sz w:val="23"/>
          <w:szCs w:val="23"/>
          <w:color w:val="231F20"/>
          <w:spacing w:val="15"/>
        </w:rPr>
        <w:t xml:space="preserve">   </w:t>
      </w:r>
      <w:r>
        <w:rPr>
          <w:rFonts w:ascii="Microsoft YaHei" w:hAnsi="Microsoft YaHei" w:eastAsia="Microsoft YaHei" w:cs="Microsoft YaHei"/>
          <w:sz w:val="23"/>
          <w:szCs w:val="23"/>
          <w:color w:val="231F20"/>
          <w:spacing w:val="-2"/>
        </w:rPr>
        <w:t>数据治理工作的目标与意义</w:t>
      </w:r>
      <w:r>
        <w:rPr>
          <w:rFonts w:ascii="Microsoft YaHei" w:hAnsi="Microsoft YaHei" w:eastAsia="Microsoft YaHei" w:cs="Microsoft YaHei"/>
          <w:sz w:val="23"/>
          <w:szCs w:val="23"/>
          <w:color w:val="231F20"/>
          <w:spacing w:val="-28"/>
        </w:rPr>
        <w:t xml:space="preserve"> </w:t>
      </w:r>
      <w:r>
        <w:rPr>
          <w:sz w:val="23"/>
          <w:szCs w:val="23"/>
          <w:position w:val="-9"/>
        </w:rPr>
        <w:drawing>
          <wp:inline distT="0" distB="0" distL="0" distR="0">
            <wp:extent cx="70198" cy="187198"/>
            <wp:effectExtent l="0" t="0" r="0" b="0"/>
            <wp:docPr id="118" name="IM 118"/>
            <wp:cNvGraphicFramePr/>
            <a:graphic>
              <a:graphicData uri="http://schemas.openxmlformats.org/drawingml/2006/picture">
                <pic:pic>
                  <pic:nvPicPr>
                    <pic:cNvPr id="118" name="IM 118"/>
                    <pic:cNvPicPr/>
                  </pic:nvPicPr>
                  <pic:blipFill>
                    <a:blip r:embed="rId80"/>
                    <a:stretch>
                      <a:fillRect/>
                    </a:stretch>
                  </pic:blipFill>
                  <pic:spPr>
                    <a:xfrm rot="0">
                      <a:off x="0" y="0"/>
                      <a:ext cx="70198" cy="187198"/>
                    </a:xfrm>
                    <a:prstGeom prst="rect">
                      <a:avLst/>
                    </a:prstGeom>
                  </pic:spPr>
                </pic:pic>
              </a:graphicData>
            </a:graphic>
          </wp:inline>
        </w:drawing>
      </w:r>
    </w:p>
    <w:p>
      <w:pPr>
        <w:pStyle w:val="BodyText"/>
        <w:ind w:left="449"/>
        <w:spacing w:before="178" w:line="220" w:lineRule="auto"/>
        <w:rPr/>
      </w:pPr>
      <w:r>
        <w:pict>
          <v:shape id="_x0000_s140" style="position:absolute;margin-left:42.544pt;margin-top:9.26828pt;mso-position-vertical-relative:text;mso-position-horizontal-relative:text;width:62pt;height:9.85pt;z-index:-251534336;" filled="false" strokecolor="#231F20" strokeweight="0.17pt" coordsize="1240,197" coordorigin="0,0" path="m108,189l108,175l164,175l164,192l175,186c175,174,174,157,174,135l181,130l169,119l163,127l141,127l141,94l192,94l178,80l169,89l141,89l141,72l148,67l130,59c131,68,131,79,131,89l93,89c94,76,95,64,95,54l164,54l164,64l175,59c175,51,174,39,174,23l181,18l169,8l163,14l96,14l83,7c84,18,84,37,84,64c83,90,80,114,74,134c68,154,58,172,46,187l49,190c74,165,88,133,92,94l131,94l131,127l108,127l96,120c97,131,97,142,97,156c97,169,97,182,96,194l108,189xm164,49l95,49l95,19l164,19l164,49xm164,170l108,170l108,132l164,132l164,170xm49,55l81,55l68,41l58,50l49,50l49,18l55,13l36,3c37,12,37,28,37,50l2,50l9,57l18,55l37,55l37,97c16,108,4,113,1,114l13,128c14,125,22,118,37,107l37,165c37,169,36,171,33,171c30,172,22,171,10,169l10,172c25,178,32,184,31,189c42,185,48,178,49,168l49,101l77,80l76,77l49,92l49,55xm653,37c659,36,666,35,673,35l722,35l722,169l634,169l642,176c648,174,654,173,662,173l822,173l803,155l790,169l735,169l735,35l812,35l794,18l782,30l646,30l653,37xm1123,101l1081,101l1081,49l1123,49l1123,101xm1123,164l1081,164l1081,106l1123,106l1123,164xm1142,48l1130,36l1122,44l1095,44c1104,25,1111,14,1117,11l1099,1c1098,11,1095,25,1090,44l1082,44l1069,36c1070,62,1070,87,1070,112c1070,138,1070,163,1069,189l1081,182l1081,169l1123,169l1123,186l1135,179c1134,160,1134,118,1134,54l1142,48xm1162,43c1156,57,1148,72,1137,90l1139,91c1150,81,1160,67,1170,51l1218,51c1217,113,1215,148,1214,157c1213,166,1209,171,1203,171c1197,171,1187,170,1173,167l1173,171c1189,175,1198,182,1201,191c1208,188,1214,185,1217,182c1221,178,1224,173,1226,164c1227,156,1229,119,1230,55l1237,50l1225,37l1216,46l1172,46c1181,27,1188,15,1192,13l1174,2c1172,16,1167,29,1162,43m1158,85c1165,95,1170,106,1172,117c1174,128,1177,131,1182,125c1186,120,1187,114,1184,107c1181,100,1173,92,1159,82l1158,85xe">
            <v:stroke joinstyle="miter" miterlimit="4"/>
          </v:shape>
        </w:pict>
      </w:r>
      <w:r>
        <w:rPr>
          <w:rFonts w:ascii="Times New Roman" w:hAnsi="Times New Roman" w:eastAsia="Times New Roman" w:cs="Times New Roman"/>
          <w:color w:val="231F20"/>
          <w:spacing w:val="-7"/>
        </w:rPr>
        <w:t>1. </w:t>
      </w:r>
      <w:r>
        <w:rPr>
          <w:color w:val="231F20"/>
          <w:spacing w:val="-7"/>
        </w:rPr>
        <w:t>数据治理工作的</w:t>
      </w:r>
      <w:r>
        <w:rPr>
          <w:color w:val="231F20"/>
          <w:spacing w:val="-47"/>
        </w:rPr>
        <w:t xml:space="preserve"> </w:t>
      </w:r>
      <w:r>
        <w:rPr>
          <w:color w:val="231F20"/>
          <w:spacing w:val="-7"/>
        </w:rPr>
        <w:t>目标</w:t>
      </w:r>
    </w:p>
    <w:p>
      <w:pPr>
        <w:pStyle w:val="BodyText"/>
        <w:ind w:left="7" w:right="586" w:firstLine="427"/>
        <w:spacing w:before="73" w:line="274" w:lineRule="auto"/>
        <w:rPr/>
      </w:pPr>
      <w:r>
        <w:rPr>
          <w:color w:val="231F20"/>
        </w:rPr>
        <w:t>数据治理的目标是对组织的数据管理和利用进行评估、指导和监督，通过提供不断创</w:t>
      </w:r>
      <w:r>
        <w:rPr>
          <w:color w:val="231F20"/>
          <w:spacing w:val="15"/>
        </w:rPr>
        <w:t xml:space="preserve"> </w:t>
      </w:r>
      <w:r>
        <w:rPr>
          <w:color w:val="231F20"/>
        </w:rPr>
        <w:t>新的数据服务，提高数据利用效率，为组织创造价值。国际数据管理协会指出，数据治理</w:t>
      </w:r>
      <w:r>
        <w:rPr>
          <w:color w:val="231F20"/>
          <w:spacing w:val="12"/>
        </w:rPr>
        <w:t xml:space="preserve"> </w:t>
      </w:r>
      <w:r>
        <w:rPr>
          <w:color w:val="231F20"/>
          <w:spacing w:val="2"/>
        </w:rPr>
        <w:t>的目标包括：落实数据政策、标准、计划、指南等；跟踪数据政策、标准和规则的遵从； </w:t>
      </w:r>
      <w:r>
        <w:rPr>
          <w:color w:val="231F20"/>
        </w:rPr>
        <w:t>解决数据质量问题；提升数据价值。国际数据治理研究所指出，数据治理的通用目标包括</w:t>
      </w:r>
      <w:r>
        <w:rPr>
          <w:color w:val="231F20"/>
          <w:spacing w:val="12"/>
        </w:rPr>
        <w:t xml:space="preserve"> </w:t>
      </w:r>
      <w:r>
        <w:rPr>
          <w:color w:val="231F20"/>
        </w:rPr>
        <w:t>更好地决策、减少运营摩擦、保护数据相关者的权益、建立标准化及可重复的流</w:t>
      </w:r>
      <w:r>
        <w:rPr>
          <w:color w:val="231F20"/>
          <w:spacing w:val="-1"/>
        </w:rPr>
        <w:t>程、降低 </w:t>
      </w:r>
      <w:r>
        <w:rPr>
          <w:color w:val="231F20"/>
          <w:spacing w:val="-3"/>
        </w:rPr>
        <w:t>成本并提高效率、确保过程透明等。</w:t>
      </w:r>
    </w:p>
    <w:p>
      <w:pPr>
        <w:pStyle w:val="BodyText"/>
        <w:ind w:left="429"/>
        <w:spacing w:before="75" w:line="220" w:lineRule="auto"/>
        <w:rPr/>
      </w:pPr>
      <w:r>
        <w:rPr>
          <w:rFonts w:ascii="Times New Roman" w:hAnsi="Times New Roman" w:eastAsia="Times New Roman" w:cs="Times New Roman"/>
          <w:color w:val="231F20"/>
          <w:spacing w:val="-1"/>
        </w:rPr>
        <w:t>2. </w:t>
      </w:r>
      <w:r>
        <w:rPr>
          <w:color w:val="231F20"/>
          <w:spacing w:val="-1"/>
        </w:rPr>
        <w:t>数据治理工作的意义</w:t>
      </w:r>
    </w:p>
    <w:p>
      <w:pPr>
        <w:pStyle w:val="BodyText"/>
        <w:ind w:left="439"/>
        <w:spacing w:before="74" w:line="220" w:lineRule="auto"/>
        <w:rPr/>
      </w:pPr>
      <w:r>
        <w:rPr>
          <w:color w:val="231F20"/>
        </w:rPr>
        <w:t>高质量的数据对任何企业都是战略性资产，随着企业推进数字化转型的进程，有效数</w:t>
      </w:r>
    </w:p>
    <w:p>
      <w:pPr>
        <w:spacing w:line="220" w:lineRule="auto"/>
        <w:sectPr>
          <w:footerReference w:type="default" r:id="rId71"/>
          <w:pgSz w:w="10489" w:h="14741"/>
          <w:pgMar w:top="679" w:right="489" w:bottom="734" w:left="1133" w:header="0" w:footer="552" w:gutter="0"/>
        </w:sectPr>
        <w:rPr/>
      </w:pPr>
    </w:p>
    <w:p>
      <w:pPr>
        <w:spacing w:before="78" w:line="215" w:lineRule="auto"/>
        <w:rPr>
          <w:rFonts w:ascii="Microsoft YaHei" w:hAnsi="Microsoft YaHei" w:eastAsia="Microsoft YaHei" w:cs="Microsoft YaHei"/>
          <w:sz w:val="18"/>
          <w:szCs w:val="18"/>
        </w:rPr>
      </w:pPr>
      <w:r>
        <w:drawing>
          <wp:anchor distT="0" distB="0" distL="0" distR="0" simplePos="0" relativeHeight="251806720" behindDoc="1" locked="0" layoutInCell="1" allowOverlap="1">
            <wp:simplePos x="0" y="0"/>
            <wp:positionH relativeFrom="column">
              <wp:posOffset>108299</wp:posOffset>
            </wp:positionH>
            <wp:positionV relativeFrom="paragraph">
              <wp:posOffset>79371</wp:posOffset>
            </wp:positionV>
            <wp:extent cx="83329" cy="46985"/>
            <wp:effectExtent l="0" t="0" r="0" b="0"/>
            <wp:wrapNone/>
            <wp:docPr id="120" name="IM 120"/>
            <wp:cNvGraphicFramePr/>
            <a:graphic>
              <a:graphicData uri="http://schemas.openxmlformats.org/drawingml/2006/picture">
                <pic:pic>
                  <pic:nvPicPr>
                    <pic:cNvPr id="120" name="IM 120"/>
                    <pic:cNvPicPr/>
                  </pic:nvPicPr>
                  <pic:blipFill>
                    <a:blip r:embed="rId82"/>
                    <a:stretch>
                      <a:fillRect/>
                    </a:stretch>
                  </pic:blipFill>
                  <pic:spPr>
                    <a:xfrm rot="0">
                      <a:off x="0" y="0"/>
                      <a:ext cx="83329" cy="46985"/>
                    </a:xfrm>
                    <a:prstGeom prst="rect">
                      <a:avLst/>
                    </a:prstGeom>
                  </pic:spPr>
                </pic:pic>
              </a:graphicData>
            </a:graphic>
          </wp:anchor>
        </w:drawing>
      </w:r>
      <w:r>
        <w:drawing>
          <wp:anchor distT="0" distB="0" distL="0" distR="0" simplePos="0" relativeHeight="251805696" behindDoc="1" locked="0" layoutInCell="1" allowOverlap="1">
            <wp:simplePos x="0" y="0"/>
            <wp:positionH relativeFrom="column">
              <wp:posOffset>38548</wp:posOffset>
            </wp:positionH>
            <wp:positionV relativeFrom="paragraph">
              <wp:posOffset>120488</wp:posOffset>
            </wp:positionV>
            <wp:extent cx="153080" cy="75618"/>
            <wp:effectExtent l="0" t="0" r="0" b="0"/>
            <wp:wrapNone/>
            <wp:docPr id="122" name="IM 122"/>
            <wp:cNvGraphicFramePr/>
            <a:graphic>
              <a:graphicData uri="http://schemas.openxmlformats.org/drawingml/2006/picture">
                <pic:pic>
                  <pic:nvPicPr>
                    <pic:cNvPr id="122" name="IM 122"/>
                    <pic:cNvPicPr/>
                  </pic:nvPicPr>
                  <pic:blipFill>
                    <a:blip r:embed="rId83"/>
                    <a:stretch>
                      <a:fillRect/>
                    </a:stretch>
                  </pic:blipFill>
                  <pic:spPr>
                    <a:xfrm rot="0">
                      <a:off x="0" y="0"/>
                      <a:ext cx="153080" cy="75618"/>
                    </a:xfrm>
                    <a:prstGeom prst="rect">
                      <a:avLst/>
                    </a:prstGeom>
                  </pic:spPr>
                </pic:pic>
              </a:graphicData>
            </a:graphic>
          </wp:anchor>
        </w:drawing>
      </w:r>
      <w:r>
        <w:rPr>
          <w:rFonts w:ascii="Microsoft YaHei" w:hAnsi="Microsoft YaHei" w:eastAsia="Microsoft YaHei" w:cs="Microsoft YaHei"/>
          <w:sz w:val="18"/>
          <w:szCs w:val="18"/>
          <w:color w:val="D9D9D9"/>
          <w:position w:val="-5"/>
        </w:rPr>
        <w:drawing>
          <wp:inline distT="0" distB="0" distL="0" distR="0">
            <wp:extent cx="369303" cy="250002"/>
            <wp:effectExtent l="0" t="0" r="0" b="0"/>
            <wp:docPr id="124" name="IM 124"/>
            <wp:cNvGraphicFramePr/>
            <a:graphic>
              <a:graphicData uri="http://schemas.openxmlformats.org/drawingml/2006/picture">
                <pic:pic>
                  <pic:nvPicPr>
                    <pic:cNvPr id="124" name="IM 124"/>
                    <pic:cNvPicPr/>
                  </pic:nvPicPr>
                  <pic:blipFill>
                    <a:blip r:embed="rId84"/>
                    <a:stretch>
                      <a:fillRect/>
                    </a:stretch>
                  </pic:blipFill>
                  <pic:spPr>
                    <a:xfrm rot="0">
                      <a:off x="0" y="0"/>
                      <a:ext cx="369303" cy="250002"/>
                    </a:xfrm>
                    <a:prstGeom prst="rect">
                      <a:avLst/>
                    </a:prstGeom>
                  </pic:spPr>
                </pic:pic>
              </a:graphicData>
            </a:graphic>
          </wp:inline>
        </w:drawing>
      </w:r>
      <w:r>
        <w:rPr>
          <w:rFonts w:ascii="Microsoft YaHei" w:hAnsi="Microsoft YaHei" w:eastAsia="Microsoft YaHei" w:cs="Microsoft YaHei"/>
          <w:sz w:val="18"/>
          <w:szCs w:val="18"/>
          <w:color w:val="D9D9D9"/>
          <w:spacing w:val="49"/>
        </w:rPr>
        <w:t xml:space="preserve"> </w:t>
      </w:r>
      <w:r>
        <w:rPr>
          <w:rFonts w:ascii="Microsoft YaHei" w:hAnsi="Microsoft YaHei" w:eastAsia="Microsoft YaHei" w:cs="Microsoft YaHei"/>
          <w:sz w:val="18"/>
          <w:szCs w:val="18"/>
          <w:color w:val="D9D9D9"/>
          <w:spacing w:val="2"/>
        </w:rPr>
        <w:t>数据治理</w:t>
      </w:r>
      <w:r>
        <w:rPr>
          <w:rFonts w:ascii="Microsoft YaHei" w:hAnsi="Microsoft YaHei" w:eastAsia="Microsoft YaHei" w:cs="Microsoft YaHei"/>
          <w:sz w:val="18"/>
          <w:szCs w:val="18"/>
          <w:color w:val="D9D9D9"/>
          <w:spacing w:val="48"/>
          <w:w w:val="101"/>
        </w:rPr>
        <w:t xml:space="preserve"> </w:t>
      </w:r>
      <w:r>
        <w:rPr>
          <w:rFonts w:ascii="Microsoft YaHei" w:hAnsi="Microsoft YaHei" w:eastAsia="Microsoft YaHei" w:cs="Microsoft YaHei"/>
          <w:sz w:val="18"/>
          <w:szCs w:val="18"/>
          <w:color w:val="4B4C4D"/>
          <w:spacing w:val="2"/>
        </w:rPr>
        <w:t>理论、方法与实践</w:t>
      </w:r>
    </w:p>
    <w:p>
      <w:pPr>
        <w:spacing w:line="337" w:lineRule="auto"/>
        <w:rPr>
          <w:rFonts w:ascii="Arial"/>
          <w:sz w:val="21"/>
        </w:rPr>
      </w:pPr>
      <w:r/>
    </w:p>
    <w:p>
      <w:pPr>
        <w:pStyle w:val="BodyText"/>
        <w:ind w:left="577" w:right="71"/>
        <w:spacing w:before="68" w:line="269" w:lineRule="auto"/>
        <w:jc w:val="both"/>
        <w:rPr/>
      </w:pPr>
      <w:r>
        <w:rPr>
          <w:color w:val="231F20"/>
          <w:spacing w:val="6"/>
        </w:rPr>
        <w:t>据正迅速成为一个关键的业务差异，但要使数据具有价值，需确保数据的可信任性、安</w:t>
      </w:r>
      <w:r>
        <w:rPr>
          <w:color w:val="231F20"/>
          <w:spacing w:val="3"/>
        </w:rPr>
        <w:t xml:space="preserve"> </w:t>
      </w:r>
      <w:r>
        <w:rPr>
          <w:color w:val="231F20"/>
          <w:spacing w:val="6"/>
        </w:rPr>
        <w:t>全性、可访问性、准确性、共享性和及时性。数据治理有助</w:t>
      </w:r>
      <w:r>
        <w:rPr>
          <w:color w:val="231F20"/>
          <w:spacing w:val="5"/>
        </w:rPr>
        <w:t>于增强企业灵活性，实现相</w:t>
      </w:r>
      <w:r>
        <w:rPr>
          <w:color w:val="231F20"/>
        </w:rPr>
        <w:t xml:space="preserve"> </w:t>
      </w:r>
      <w:r>
        <w:rPr>
          <w:color w:val="231F20"/>
          <w:spacing w:val="6"/>
        </w:rPr>
        <w:t>关成本和风险的最小化决策，特别在数字经济中，数据治理比以往任何时候都显得更为</w:t>
      </w:r>
      <w:r>
        <w:rPr>
          <w:color w:val="231F20"/>
          <w:spacing w:val="5"/>
        </w:rPr>
        <w:t xml:space="preserve"> </w:t>
      </w:r>
      <w:r>
        <w:rPr>
          <w:color w:val="231F20"/>
          <w:spacing w:val="-7"/>
        </w:rPr>
        <w:t>重要。</w:t>
      </w:r>
    </w:p>
    <w:p>
      <w:pPr>
        <w:pStyle w:val="BodyText"/>
        <w:ind w:left="577" w:right="72" w:firstLine="426"/>
        <w:spacing w:before="72" w:line="274" w:lineRule="auto"/>
        <w:jc w:val="both"/>
        <w:rPr/>
      </w:pPr>
      <w:r>
        <w:rPr>
          <w:color w:val="231F20"/>
          <w:spacing w:val="6"/>
        </w:rPr>
        <w:t>缺乏企业高层领导的支持、系统间的数据壁垒和整个治理项目缺乏明确的流程</w:t>
      </w:r>
      <w:r>
        <w:rPr>
          <w:color w:val="231F20"/>
          <w:spacing w:val="5"/>
        </w:rPr>
        <w:t>和数</w:t>
      </w:r>
      <w:r>
        <w:rPr>
          <w:color w:val="231F20"/>
        </w:rPr>
        <w:t xml:space="preserve"> </w:t>
      </w:r>
      <w:r>
        <w:rPr>
          <w:color w:val="231F20"/>
          <w:spacing w:val="12"/>
        </w:rPr>
        <w:t>据模板、数据所有权和问责机制不清等是导致项</w:t>
      </w:r>
      <w:r>
        <w:rPr>
          <w:color w:val="231F20"/>
          <w:spacing w:val="11"/>
        </w:rPr>
        <w:t>目失败或者治理结果不理想的主要原</w:t>
      </w:r>
      <w:r>
        <w:rPr>
          <w:color w:val="231F20"/>
        </w:rPr>
        <w:t xml:space="preserve"> </w:t>
      </w:r>
      <w:r>
        <w:rPr>
          <w:color w:val="231F20"/>
          <w:spacing w:val="6"/>
        </w:rPr>
        <w:t>因，涉及企业中所有跨功能和跨业务的决策机制。数据治理具有</w:t>
      </w:r>
      <w:r>
        <w:rPr>
          <w:color w:val="231F20"/>
          <w:spacing w:val="5"/>
        </w:rPr>
        <w:t>战略性、长期性、艰巨</w:t>
      </w:r>
      <w:r>
        <w:rPr>
          <w:color w:val="231F20"/>
        </w:rPr>
        <w:t xml:space="preserve"> </w:t>
      </w:r>
      <w:r>
        <w:rPr>
          <w:color w:val="231F20"/>
          <w:spacing w:val="6"/>
        </w:rPr>
        <w:t>性、系统性、持续企业内部数据环境优化治理工作，因此数据治理是一个漫长而持续的</w:t>
      </w:r>
      <w:r>
        <w:rPr>
          <w:color w:val="231F20"/>
          <w:spacing w:val="4"/>
        </w:rPr>
        <w:t xml:space="preserve"> </w:t>
      </w:r>
      <w:r>
        <w:rPr>
          <w:color w:val="231F20"/>
          <w:spacing w:val="6"/>
        </w:rPr>
        <w:t>过程，没有一针顶破天的诀窍，也没有立竿见影的捷径，要</w:t>
      </w:r>
      <w:r>
        <w:rPr>
          <w:color w:val="231F20"/>
          <w:spacing w:val="5"/>
        </w:rPr>
        <w:t>避免对数据治理工作粗浅的</w:t>
      </w:r>
      <w:r>
        <w:rPr>
          <w:color w:val="231F20"/>
        </w:rPr>
        <w:t xml:space="preserve"> </w:t>
      </w:r>
      <w:r>
        <w:rPr>
          <w:color w:val="231F20"/>
          <w:spacing w:val="-7"/>
        </w:rPr>
        <w:t>认识。</w:t>
      </w:r>
    </w:p>
    <w:p>
      <w:pPr>
        <w:pStyle w:val="BodyText"/>
        <w:ind w:left="577" w:firstLine="427"/>
        <w:spacing w:before="67" w:line="276" w:lineRule="auto"/>
        <w:jc w:val="both"/>
        <w:rPr/>
      </w:pPr>
      <w:r>
        <w:rPr>
          <w:color w:val="231F20"/>
        </w:rPr>
        <w:t>数据治理工作的意义在于更加有效、合规地使用数据，以及与业务相关的各种数据的 </w:t>
      </w:r>
      <w:r>
        <w:rPr>
          <w:color w:val="231F20"/>
        </w:rPr>
        <w:t>不断增加，是推动数据治理的主要动力。数据治理要了解各级政府和企业对数据的不同需</w:t>
      </w:r>
      <w:r>
        <w:rPr>
          <w:color w:val="231F20"/>
          <w:spacing w:val="4"/>
        </w:rPr>
        <w:t xml:space="preserve">  </w:t>
      </w:r>
      <w:r>
        <w:rPr>
          <w:color w:val="231F20"/>
        </w:rPr>
        <w:t>求，并按自上而下的方针，对数据进行调研和管理，全面理清数据资产的分布，对数据的</w:t>
      </w:r>
      <w:r>
        <w:rPr>
          <w:color w:val="231F20"/>
          <w:spacing w:val="1"/>
        </w:rPr>
        <w:t xml:space="preserve">  </w:t>
      </w:r>
      <w:r>
        <w:rPr>
          <w:color w:val="231F20"/>
          <w:spacing w:val="2"/>
        </w:rPr>
        <w:t>管理、应用、质量等各方面进行全面科学的评估，从而更好地对数据产生、采集、处理、</w:t>
      </w:r>
      <w:r>
        <w:rPr>
          <w:color w:val="231F20"/>
          <w:spacing w:val="17"/>
        </w:rPr>
        <w:t xml:space="preserve"> </w:t>
      </w:r>
      <w:r>
        <w:rPr>
          <w:color w:val="231F20"/>
        </w:rPr>
        <w:t>加工、使用等过程进行规范。数据治理就是要对数据统一标准，出台合理的治理流程和制</w:t>
      </w:r>
      <w:r>
        <w:rPr>
          <w:color w:val="231F20"/>
          <w:spacing w:val="1"/>
        </w:rPr>
        <w:t xml:space="preserve">  </w:t>
      </w:r>
      <w:r>
        <w:rPr>
          <w:color w:val="231F20"/>
        </w:rPr>
        <w:t>度，规范各类数据的生产供应。只有通过数据治理，不断提升数据质量，严格控制数据安</w:t>
      </w:r>
      <w:r>
        <w:rPr>
          <w:color w:val="231F20"/>
          <w:spacing w:val="3"/>
        </w:rPr>
        <w:t xml:space="preserve">  </w:t>
      </w:r>
      <w:r>
        <w:rPr>
          <w:color w:val="231F20"/>
          <w:spacing w:val="-2"/>
        </w:rPr>
        <w:t>全，才能让数据在数字化转型中发挥出最大的效益。</w:t>
      </w:r>
    </w:p>
    <w:p>
      <w:pPr>
        <w:ind w:left="594"/>
        <w:spacing w:before="213" w:line="201" w:lineRule="auto"/>
        <w:rPr>
          <w:sz w:val="23"/>
          <w:szCs w:val="23"/>
        </w:rPr>
      </w:pPr>
      <w:r>
        <w:rPr>
          <w:rFonts w:ascii="Arial" w:hAnsi="Arial" w:eastAsia="Arial" w:cs="Arial"/>
          <w:sz w:val="23"/>
          <w:szCs w:val="23"/>
          <w:u w:val="single" w:color="76787B"/>
          <w:color w:val="231F20"/>
          <w:spacing w:val="-2"/>
        </w:rPr>
        <w:t>1.2.5</w:t>
      </w:r>
      <w:r>
        <w:rPr>
          <w:rFonts w:ascii="Arial" w:hAnsi="Arial" w:eastAsia="Arial" w:cs="Arial"/>
          <w:sz w:val="23"/>
          <w:szCs w:val="23"/>
          <w:u w:val="single" w:color="76787B"/>
          <w:color w:val="231F20"/>
          <w:spacing w:val="14"/>
        </w:rPr>
        <w:t xml:space="preserve">   </w:t>
      </w:r>
      <w:r>
        <w:rPr>
          <w:rFonts w:ascii="Microsoft YaHei" w:hAnsi="Microsoft YaHei" w:eastAsia="Microsoft YaHei" w:cs="Microsoft YaHei"/>
          <w:sz w:val="23"/>
          <w:szCs w:val="23"/>
          <w:u w:val="single" w:color="76787B"/>
          <w:color w:val="231F20"/>
          <w:spacing w:val="-2"/>
        </w:rPr>
        <w:t>数据治理的相关道德准则</w:t>
      </w:r>
      <w:r>
        <w:rPr>
          <w:sz w:val="23"/>
          <w:szCs w:val="23"/>
          <w:position w:val="-7"/>
        </w:rPr>
        <w:drawing>
          <wp:inline distT="0" distB="0" distL="0" distR="0">
            <wp:extent cx="97213" cy="187197"/>
            <wp:effectExtent l="0" t="0" r="0" b="0"/>
            <wp:docPr id="126" name="IM 126"/>
            <wp:cNvGraphicFramePr/>
            <a:graphic>
              <a:graphicData uri="http://schemas.openxmlformats.org/drawingml/2006/picture">
                <pic:pic>
                  <pic:nvPicPr>
                    <pic:cNvPr id="126" name="IM 126"/>
                    <pic:cNvPicPr/>
                  </pic:nvPicPr>
                  <pic:blipFill>
                    <a:blip r:embed="rId85"/>
                    <a:stretch>
                      <a:fillRect/>
                    </a:stretch>
                  </pic:blipFill>
                  <pic:spPr>
                    <a:xfrm rot="0">
                      <a:off x="0" y="0"/>
                      <a:ext cx="97213" cy="187197"/>
                    </a:xfrm>
                    <a:prstGeom prst="rect">
                      <a:avLst/>
                    </a:prstGeom>
                  </pic:spPr>
                </pic:pic>
              </a:graphicData>
            </a:graphic>
          </wp:inline>
        </w:drawing>
      </w:r>
    </w:p>
    <w:p>
      <w:pPr>
        <w:pStyle w:val="BodyText"/>
        <w:ind w:left="1019"/>
        <w:spacing w:before="177" w:line="221" w:lineRule="auto"/>
        <w:rPr/>
      </w:pPr>
      <w:r>
        <w:rPr>
          <w:rFonts w:ascii="Times New Roman" w:hAnsi="Times New Roman" w:eastAsia="Times New Roman" w:cs="Times New Roman"/>
          <w:color w:val="231F20"/>
          <w:spacing w:val="-3"/>
        </w:rPr>
        <w:t>1. </w:t>
      </w:r>
      <w:r>
        <w:rPr>
          <w:color w:val="231F20"/>
          <w:spacing w:val="-3"/>
        </w:rPr>
        <w:t>保护隐私安全</w:t>
      </w:r>
    </w:p>
    <w:p>
      <w:pPr>
        <w:pStyle w:val="BodyText"/>
        <w:ind w:left="578" w:right="83" w:firstLine="425"/>
        <w:spacing w:before="74" w:line="263" w:lineRule="auto"/>
        <w:rPr/>
      </w:pPr>
      <w:r>
        <w:rPr>
          <w:color w:val="231F20"/>
        </w:rPr>
        <w:t>保护隐私安全这一准则意在为数据治理中个人、组织及国家的合法数据权益提供基础 </w:t>
      </w:r>
      <w:r>
        <w:rPr>
          <w:color w:val="231F20"/>
        </w:rPr>
        <w:t>保障。数据治理的开展应当合法、正当地保护个人隐私与数据安全，不得以任何违反个人</w:t>
      </w:r>
      <w:r>
        <w:rPr>
          <w:color w:val="231F20"/>
          <w:spacing w:val="10"/>
        </w:rPr>
        <w:t xml:space="preserve"> </w:t>
      </w:r>
      <w:r>
        <w:rPr>
          <w:color w:val="231F20"/>
          <w:spacing w:val="-2"/>
        </w:rPr>
        <w:t>意愿及国家规定的方式非法收集利用相关数据。</w:t>
      </w:r>
    </w:p>
    <w:p>
      <w:pPr>
        <w:pStyle w:val="BodyText"/>
        <w:ind w:left="999"/>
        <w:spacing w:before="73" w:line="220" w:lineRule="auto"/>
        <w:rPr/>
      </w:pPr>
      <w:r>
        <w:rPr>
          <w:rFonts w:ascii="Times New Roman" w:hAnsi="Times New Roman" w:eastAsia="Times New Roman" w:cs="Times New Roman"/>
          <w:color w:val="231F20"/>
          <w:spacing w:val="-1"/>
        </w:rPr>
        <w:t>2. </w:t>
      </w:r>
      <w:r>
        <w:rPr>
          <w:color w:val="231F20"/>
          <w:spacing w:val="-1"/>
        </w:rPr>
        <w:t>促进公平公正</w:t>
      </w:r>
    </w:p>
    <w:p>
      <w:pPr>
        <w:pStyle w:val="BodyText"/>
        <w:ind w:left="578" w:right="76" w:firstLine="425"/>
        <w:spacing w:before="74" w:line="263" w:lineRule="auto"/>
        <w:rPr/>
      </w:pPr>
      <w:r>
        <w:rPr>
          <w:color w:val="231F20"/>
        </w:rPr>
        <w:t>促进公平公正是数据治理道德性实现的基础准则。这一准则对于各相关主体的合法权</w:t>
      </w:r>
      <w:r>
        <w:rPr>
          <w:color w:val="231F20"/>
          <w:spacing w:val="11"/>
        </w:rPr>
        <w:t xml:space="preserve"> </w:t>
      </w:r>
      <w:r>
        <w:rPr>
          <w:color w:val="231F20"/>
        </w:rPr>
        <w:t>益切实进行保护，有助于促进社会公平正义和机会均等，可以有效预防、杜绝垄断市场等</w:t>
      </w:r>
      <w:r>
        <w:rPr>
          <w:color w:val="231F20"/>
          <w:spacing w:val="9"/>
        </w:rPr>
        <w:t xml:space="preserve"> </w:t>
      </w:r>
      <w:r>
        <w:rPr>
          <w:color w:val="231F20"/>
          <w:spacing w:val="-2"/>
        </w:rPr>
        <w:t>恶性事件的发生，推动全社会公平共享数据治理带来的成果。</w:t>
      </w:r>
    </w:p>
    <w:p>
      <w:pPr>
        <w:pStyle w:val="BodyText"/>
        <w:ind w:left="1003"/>
        <w:spacing w:before="75" w:line="220" w:lineRule="auto"/>
        <w:rPr/>
      </w:pPr>
      <w:r>
        <w:rPr>
          <w:rFonts w:ascii="Times New Roman" w:hAnsi="Times New Roman" w:eastAsia="Times New Roman" w:cs="Times New Roman"/>
          <w:color w:val="231F20"/>
          <w:spacing w:val="-1"/>
        </w:rPr>
        <w:t>3. </w:t>
      </w:r>
      <w:r>
        <w:rPr>
          <w:color w:val="231F20"/>
          <w:spacing w:val="-1"/>
        </w:rPr>
        <w:t>增强透明可信</w:t>
      </w:r>
    </w:p>
    <w:p>
      <w:pPr>
        <w:pStyle w:val="BodyText"/>
        <w:ind w:left="456" w:right="72" w:firstLine="547"/>
        <w:spacing w:before="73" w:line="269" w:lineRule="auto"/>
        <w:rPr/>
      </w:pPr>
      <w:r>
        <w:rPr>
          <w:color w:val="231F20"/>
        </w:rPr>
        <w:t>增强透明可信的道德准则旨在打破技术壁垒所带来的道德失范。“透明可信”并非指</w:t>
      </w:r>
      <w:r>
        <w:rPr>
          <w:color w:val="231F20"/>
          <w:spacing w:val="13"/>
        </w:rPr>
        <w:t xml:space="preserve"> </w:t>
      </w:r>
      <w:r>
        <w:rPr>
          <w:color w:val="231F20"/>
          <w:spacing w:val="-2"/>
        </w:rPr>
        <w:t>“全面的、简单的、绝对的公开”，而是指在数据治理与产业激励之间寻求信任与合作的平</w:t>
      </w:r>
      <w:r>
        <w:rPr>
          <w:color w:val="231F20"/>
          <w:spacing w:val="14"/>
        </w:rPr>
        <w:t xml:space="preserve"> </w:t>
      </w:r>
      <w:r>
        <w:rPr>
          <w:color w:val="231F20"/>
          <w:spacing w:val="3"/>
        </w:rPr>
        <w:t>衡。此外，增强透明可信的准则对于数据治理的可溯源性提供了保障，与数据治理的安全</w:t>
      </w:r>
      <w:r>
        <w:rPr>
          <w:color w:val="231F20"/>
          <w:spacing w:val="14"/>
        </w:rPr>
        <w:t xml:space="preserve"> </w:t>
      </w:r>
      <w:r>
        <w:rPr>
          <w:color w:val="231F20"/>
          <w:spacing w:val="9"/>
        </w:rPr>
        <w:t>可控准则相互包容。</w:t>
      </w:r>
    </w:p>
    <w:p>
      <w:pPr>
        <w:pStyle w:val="BodyText"/>
        <w:ind w:left="998"/>
        <w:spacing w:before="73" w:line="220" w:lineRule="auto"/>
        <w:rPr/>
      </w:pPr>
      <w:r>
        <w:pict>
          <v:shape id="_x0000_s142" style="position:absolute;margin-left:102.614pt;margin-top:4.17238pt;mso-position-vertical-relative:text;mso-position-horizontal-relative:text;width:9.7pt;height:9.5pt;z-index:-251508736;" filled="false" strokecolor="#231F20" strokeweight="0.17pt" coordsize="193,190" coordorigin="0,0" path="m113,43l80,43l80,18l113,18l113,43xm69,78l41,78l41,48l69,48l69,78xm113,78l80,78l80,48l113,48l113,78xm152,78l123,78l123,48l152,48l152,78xm17,21c23,19,29,18,34,18l69,18l69,43l42,43l29,36c30,46,30,55,30,65c30,74,30,84,29,95l41,90l41,83l152,83l152,92l164,87c163,79,163,67,163,50l169,44l156,34l151,43l123,43l123,18l187,18l170,1l157,14l9,14l17,21xm126,116c120,129,113,139,105,146c86,144,71,141,59,140c66,129,71,122,75,116l126,116xm64,111l1,111l9,119c15,117,20,116,24,116l62,116c54,130,48,139,44,143c61,145,79,149,99,153c80,167,49,177,4,184l4,187c36,184,59,180,74,175c89,170,101,164,111,157c137,166,154,173,162,180c170,187,174,186,174,179c174,172,169,167,162,163c154,159,139,155,118,150c126,139,134,128,140,116l192,116l174,99l160,111l77,111c80,106,83,102,86,98l92,95l75,85c73,94,69,102,64,111e">
            <v:stroke joinstyle="miter" miterlimit="4"/>
          </v:shape>
        </w:pict>
      </w:r>
      <w:r>
        <w:rPr>
          <w:rFonts w:ascii="Times New Roman" w:hAnsi="Times New Roman" w:eastAsia="Times New Roman" w:cs="Times New Roman"/>
          <w:color w:val="231F20"/>
          <w:spacing w:val="-1"/>
        </w:rPr>
        <w:t>4. </w:t>
      </w:r>
      <w:r>
        <w:rPr>
          <w:color w:val="231F20"/>
          <w:spacing w:val="-1"/>
        </w:rPr>
        <w:t>发挥数据要素作用</w:t>
      </w:r>
    </w:p>
    <w:p>
      <w:pPr>
        <w:pStyle w:val="BodyText"/>
        <w:ind w:left="577" w:right="72" w:firstLine="429"/>
        <w:spacing w:before="74" w:line="272" w:lineRule="auto"/>
        <w:rPr/>
      </w:pPr>
      <w:r>
        <w:rPr>
          <w:color w:val="231F20"/>
        </w:rPr>
        <w:t>发挥数据要素作用的准则在于通过数据治理加快数字经济、数字社会的建设，其与国</w:t>
      </w:r>
      <w:r>
        <w:rPr>
          <w:color w:val="231F20"/>
          <w:spacing w:val="13"/>
        </w:rPr>
        <w:t xml:space="preserve"> </w:t>
      </w:r>
      <w:r>
        <w:rPr>
          <w:color w:val="231F20"/>
        </w:rPr>
        <w:t>家基础建设及综合能力提升相协调。数据作为数据治理的基础，在社会生产活动中发挥着</w:t>
      </w:r>
      <w:r>
        <w:rPr>
          <w:color w:val="231F20"/>
          <w:spacing w:val="10"/>
        </w:rPr>
        <w:t xml:space="preserve"> </w:t>
      </w:r>
      <w:r>
        <w:rPr>
          <w:color w:val="231F20"/>
        </w:rPr>
        <w:t>越来越重要的作用。随着数据要素市场培育的加快，数据治理能力不断提升，带动社会生</w:t>
      </w:r>
      <w:r>
        <w:rPr>
          <w:color w:val="231F20"/>
          <w:spacing w:val="11"/>
        </w:rPr>
        <w:t xml:space="preserve"> </w:t>
      </w:r>
      <w:r>
        <w:rPr>
          <w:color w:val="231F20"/>
          <w:spacing w:val="2"/>
        </w:rPr>
        <w:t>产和治理方式的转变，全面推进数字化国家建设。数据要素市场培育的发展</w:t>
      </w:r>
      <w:r>
        <w:rPr>
          <w:color w:val="231F20"/>
          <w:spacing w:val="1"/>
        </w:rPr>
        <w:t>方向如图 </w:t>
      </w:r>
      <w:r>
        <w:rPr>
          <w:rFonts w:ascii="Times New Roman" w:hAnsi="Times New Roman" w:eastAsia="Times New Roman" w:cs="Times New Roman"/>
          <w:color w:val="231F20"/>
          <w:spacing w:val="1"/>
        </w:rPr>
        <w:t>1.5</w:t>
      </w:r>
      <w:r>
        <w:rPr>
          <w:rFonts w:ascii="Times New Roman" w:hAnsi="Times New Roman" w:eastAsia="Times New Roman" w:cs="Times New Roman"/>
          <w:color w:val="231F20"/>
        </w:rPr>
        <w:t xml:space="preserve"> </w:t>
      </w:r>
      <w:r>
        <w:rPr>
          <w:color w:val="231F20"/>
          <w:spacing w:val="-9"/>
        </w:rPr>
        <w:t>所示。</w:t>
      </w:r>
    </w:p>
    <w:p>
      <w:pPr>
        <w:spacing w:line="272" w:lineRule="auto"/>
        <w:sectPr>
          <w:footerReference w:type="default" r:id="rId81"/>
          <w:pgSz w:w="10489" w:h="14741"/>
          <w:pgMar w:top="482" w:right="1060" w:bottom="734" w:left="564" w:header="0" w:footer="551" w:gutter="0"/>
        </w:sectPr>
        <w:rPr/>
      </w:pPr>
    </w:p>
    <w:p>
      <w:pPr>
        <w:spacing w:before="41" w:line="204" w:lineRule="auto"/>
        <w:jc w:val="right"/>
        <w:rPr>
          <w:sz w:val="18"/>
          <w:szCs w:val="18"/>
        </w:rPr>
      </w:pPr>
      <w:r>
        <w:pict>
          <v:rect id="_x0000_s144" style="position:absolute;margin-left:129.994pt;margin-top:167.446pt;mso-position-vertical-relative:page;mso-position-horizontal-relative:page;width:4.3pt;height:2.85pt;z-index:251837440;" o:allowincell="f" fillcolor="#BFBFBF" filled="true" stroked="false"/>
        </w:pict>
      </w:r>
      <w:r>
        <w:pict>
          <v:rect id="_x0000_s146" style="position:absolute;margin-left:131.892pt;margin-top:244.385pt;mso-position-vertical-relative:page;mso-position-horizontal-relative:page;width:2.8pt;height:4.5pt;z-index:251865088;" o:allowincell="f" fillcolor="#BFBFBF" filled="true" stroked="false"/>
        </w:pict>
      </w:r>
      <w:r>
        <w:pict>
          <v:rect id="_x0000_s148" style="position:absolute;margin-left:233.588pt;margin-top:111.56pt;mso-position-vertical-relative:page;mso-position-horizontal-relative:page;width:4.4pt;height:3.55pt;z-index:251864064;" o:allowincell="f" fillcolor="#BFBFBF" filled="true" stroked="false"/>
        </w:pict>
      </w:r>
      <w:r>
        <w:pict>
          <v:rect id="_x0000_s150" style="position:absolute;margin-left:182.621pt;margin-top:159.366pt;mso-position-vertical-relative:page;mso-position-horizontal-relative:page;width:62.35pt;height:19pt;z-index:251851776;" o:allowincell="f" fillcolor="#DCDDDF" filled="true" stroked="false"/>
        </w:pict>
      </w:r>
      <w:r>
        <w:pict>
          <v:rect id="_x0000_s152" style="position:absolute;margin-left:276.787pt;margin-top:154.533pt;mso-position-vertical-relative:page;mso-position-horizontal-relative:page;width:45.2pt;height:28.7pt;z-index:251846656;" o:allowincell="f" fillcolor="#57585A" filled="true" stroked="false"/>
        </w:pict>
      </w:r>
      <w:r>
        <w:pict>
          <v:rect id="_x0000_s154" style="position:absolute;margin-left:174.954pt;margin-top:227.198pt;mso-position-vertical-relative:page;mso-position-horizontal-relative:page;width:62.35pt;height:19pt;z-index:251850752;" o:allowincell="f" fillcolor="#C7C8CA" filled="true" stroked="false"/>
        </w:pict>
      </w:r>
      <w:r>
        <w:pict>
          <v:rect id="_x0000_s156" style="position:absolute;margin-left:242.288pt;margin-top:227.198pt;mso-position-vertical-relative:page;mso-position-horizontal-relative:page;width:62.35pt;height:19pt;z-index:251854848;" o:allowincell="f" fillcolor="#C7C8CA" filled="true" stroked="false"/>
        </w:pict>
      </w:r>
      <w:r>
        <w:pict>
          <v:rect id="_x0000_s158" style="position:absolute;margin-left:309.622pt;margin-top:227.198pt;mso-position-vertical-relative:page;mso-position-horizontal-relative:page;width:62.35pt;height:19pt;z-index:251847680;" o:allowincell="f" fillcolor="#C7C8CA" filled="true" stroked="false"/>
        </w:pict>
      </w:r>
      <w:r>
        <w:pict>
          <v:rect id="_x0000_s160" style="position:absolute;margin-left:309.622pt;margin-top:252.199pt;mso-position-vertical-relative:page;mso-position-horizontal-relative:page;width:62.35pt;height:19pt;z-index:251848704;" o:allowincell="f" fillcolor="#C7C8CA" filled="true" stroked="false"/>
        </w:pict>
      </w:r>
      <w:r>
        <w:pict>
          <v:shape id="_x0000_s162" style="position:absolute;margin-left:178.057pt;margin-top:137.531pt;mso-position-vertical-relative:page;mso-position-horizontal-relative:page;width:0.5pt;height:63.05pt;z-index:-251480064;" o:allowincell="f" filled="false" strokecolor="#231F20" strokeweight="0.50pt" coordsize="10,1260" coordorigin="0,0" path="m5,0l5,560m5,1260l5,700e">
            <v:stroke joinstyle="miter" miterlimit="4"/>
          </v:shape>
        </w:pict>
      </w:r>
      <w:r>
        <w:pict>
          <v:group id="_x0000_s164" style="position:absolute;margin-left:174.954pt;margin-top:68.032pt;mso-position-vertical-relative:page;mso-position-horizontal-relative:page;width:62.35pt;height:43.5pt;z-index:251839488;" o:allowincell="f" filled="false" stroked="false" coordsize="1246,870" coordorigin="0,0">
            <v:shape id="_x0000_s166" style="position:absolute;left:0;top:0;width:1246;height:870;" filled="false" stroked="false" type="#_x0000_t75">
              <v:imagedata o:title="" r:id="rId87"/>
            </v:shape>
            <v:shape id="_x0000_s168" style="position:absolute;left:-20;top:-20;width:1286;height:945;" filled="false" stroked="false" type="#_x0000_t202">
              <v:fill on="false"/>
              <v:stroke on="false"/>
              <v:path/>
              <v:imagedata o:title=""/>
              <o:lock v:ext="edit" aspectratio="false"/>
              <v:textbox inset="0mm,0mm,0mm,0mm">
                <w:txbxContent>
                  <w:p>
                    <w:pPr>
                      <w:pStyle w:val="BodyText"/>
                      <w:ind w:left="109"/>
                      <w:spacing w:before="125" w:line="220" w:lineRule="auto"/>
                      <w:rPr>
                        <w:sz w:val="18"/>
                        <w:szCs w:val="18"/>
                      </w:rPr>
                    </w:pPr>
                    <w:r>
                      <w:rPr>
                        <w:sz w:val="18"/>
                        <w:szCs w:val="18"/>
                        <w:color w:val="231F20"/>
                        <w:spacing w:val="-1"/>
                      </w:rPr>
                      <w:t>政务基础设施</w:t>
                    </w:r>
                  </w:p>
                  <w:p>
                    <w:pPr>
                      <w:pStyle w:val="BodyText"/>
                      <w:ind w:left="110"/>
                      <w:spacing w:before="275" w:line="220" w:lineRule="auto"/>
                      <w:rPr>
                        <w:sz w:val="18"/>
                        <w:szCs w:val="18"/>
                      </w:rPr>
                    </w:pPr>
                    <w:r>
                      <w:rPr>
                        <w:sz w:val="18"/>
                        <w:szCs w:val="18"/>
                        <w:color w:val="231F20"/>
                        <w:spacing w:val="-1"/>
                      </w:rPr>
                      <w:t>宏观决策支撑</w:t>
                    </w:r>
                  </w:p>
                </w:txbxContent>
              </v:textbox>
            </v:shape>
          </v:group>
        </w:pict>
      </w:r>
      <w:r>
        <w:pict>
          <v:group id="_x0000_s170" style="position:absolute;margin-left:131.881pt;margin-top:69.0316pt;mso-position-vertical-relative:page;mso-position-horizontal-relative:page;width:37.1pt;height:41.7pt;z-index:251842560;" o:allowincell="f" filled="false" stroked="false" coordsize="741,834" coordorigin="0,0">
            <v:shape id="_x0000_s172" style="position:absolute;left:48;top:0;width:694;height:834;" filled="false" stroked="false" type="#_x0000_t75">
              <v:imagedata o:title="" r:id="rId88"/>
            </v:shape>
            <v:shape id="_x0000_s174" style="position:absolute;left:-20;top:-20;width:781;height:906;" filled="false" stroked="false" type="#_x0000_t202">
              <v:fill on="false"/>
              <v:stroke on="false"/>
              <v:path/>
              <v:imagedata o:title=""/>
              <o:lock v:ext="edit" aspectratio="false"/>
              <v:textbox inset="0mm,0mm,0mm,0mm">
                <w:txbxContent>
                  <w:p>
                    <w:pPr>
                      <w:pStyle w:val="BodyText"/>
                      <w:ind w:left="243"/>
                      <w:spacing w:before="225" w:line="216" w:lineRule="auto"/>
                      <w:rPr>
                        <w:sz w:val="18"/>
                        <w:szCs w:val="18"/>
                      </w:rPr>
                    </w:pPr>
                    <w:r>
                      <w:rPr>
                        <w:sz w:val="18"/>
                        <w:szCs w:val="18"/>
                        <w:color w:val="231F20"/>
                        <w:spacing w:val="-3"/>
                      </w:rPr>
                      <w:t>数字</w:t>
                    </w:r>
                  </w:p>
                  <w:p>
                    <w:pPr>
                      <w:pStyle w:val="BodyText"/>
                      <w:ind w:left="20"/>
                      <w:spacing w:line="224" w:lineRule="auto"/>
                      <w:rPr>
                        <w:sz w:val="18"/>
                        <w:szCs w:val="18"/>
                      </w:rPr>
                    </w:pPr>
                    <w:r>
                      <w:rPr>
                        <w:sz w:val="18"/>
                        <w:szCs w:val="18"/>
                        <w:color w:val="231F20"/>
                        <w:position w:val="7"/>
                      </w:rPr>
                      <w:drawing>
                        <wp:inline distT="0" distB="0" distL="0" distR="0">
                          <wp:extent cx="35090" cy="56959"/>
                          <wp:effectExtent l="0" t="0" r="0" b="0"/>
                          <wp:docPr id="128" name="IM 128"/>
                          <wp:cNvGraphicFramePr/>
                          <a:graphic>
                            <a:graphicData uri="http://schemas.openxmlformats.org/drawingml/2006/picture">
                              <pic:pic>
                                <pic:nvPicPr>
                                  <pic:cNvPr id="128" name="IM 128"/>
                                  <pic:cNvPicPr/>
                                </pic:nvPicPr>
                                <pic:blipFill>
                                  <a:blip r:embed="rId89"/>
                                  <a:stretch>
                                    <a:fillRect/>
                                  </a:stretch>
                                </pic:blipFill>
                                <pic:spPr>
                                  <a:xfrm rot="0">
                                    <a:off x="0" y="0"/>
                                    <a:ext cx="35090" cy="56959"/>
                                  </a:xfrm>
                                  <a:prstGeom prst="rect">
                                    <a:avLst/>
                                  </a:prstGeom>
                                </pic:spPr>
                              </pic:pic>
                            </a:graphicData>
                          </a:graphic>
                        </wp:inline>
                      </w:drawing>
                    </w:r>
                    <w:r>
                      <w:rPr>
                        <w:sz w:val="18"/>
                        <w:szCs w:val="18"/>
                        <w:color w:val="231F20"/>
                        <w:spacing w:val="75"/>
                        <w:w w:val="101"/>
                      </w:rPr>
                      <w:t xml:space="preserve"> </w:t>
                    </w:r>
                    <w:r>
                      <w:rPr>
                        <w:sz w:val="18"/>
                        <w:szCs w:val="18"/>
                        <w:color w:val="231F20"/>
                        <w:spacing w:val="-2"/>
                      </w:rPr>
                      <w:t>政府</w:t>
                    </w:r>
                  </w:p>
                </w:txbxContent>
              </v:textbox>
            </v:shape>
          </v:group>
        </w:pict>
      </w:r>
      <w:r>
        <w:pict>
          <v:shape id="_x0000_s176" style="position:absolute;margin-left:114.538pt;margin-top:93.3188pt;mso-position-vertical-relative:page;mso-position-horizontal-relative:page;width:19.1pt;height:152.1pt;z-index:251838464;" o:allowincell="f" filled="false" strokecolor="#231F20" strokeweight="0.50pt" coordsize="382,3042" coordorigin="0,0" path="m318,1510l4,1510m376,5l5,1510l376,3036e">
            <v:stroke joinstyle="miter" miterlimit="4"/>
          </v:shape>
        </w:pict>
      </w:r>
      <w:r>
        <w:drawing>
          <wp:anchor distT="0" distB="0" distL="0" distR="0" simplePos="0" relativeHeight="251840512" behindDoc="0" locked="0" layoutInCell="0" allowOverlap="1">
            <wp:simplePos x="0" y="0"/>
            <wp:positionH relativeFrom="page">
              <wp:posOffset>3474383</wp:posOffset>
            </wp:positionH>
            <wp:positionV relativeFrom="page">
              <wp:posOffset>1415358</wp:posOffset>
            </wp:positionV>
            <wp:extent cx="327631" cy="547307"/>
            <wp:effectExtent l="0" t="0" r="0" b="0"/>
            <wp:wrapNone/>
            <wp:docPr id="130" name="IM 130"/>
            <wp:cNvGraphicFramePr/>
            <a:graphic>
              <a:graphicData uri="http://schemas.openxmlformats.org/drawingml/2006/picture">
                <pic:pic>
                  <pic:nvPicPr>
                    <pic:cNvPr id="130" name="IM 130"/>
                    <pic:cNvPicPr/>
                  </pic:nvPicPr>
                  <pic:blipFill>
                    <a:blip r:embed="rId90"/>
                    <a:stretch>
                      <a:fillRect/>
                    </a:stretch>
                  </pic:blipFill>
                  <pic:spPr>
                    <a:xfrm rot="0">
                      <a:off x="0" y="0"/>
                      <a:ext cx="327631" cy="547307"/>
                    </a:xfrm>
                    <a:prstGeom prst="rect">
                      <a:avLst/>
                    </a:prstGeom>
                  </pic:spPr>
                </pic:pic>
              </a:graphicData>
            </a:graphic>
          </wp:anchor>
        </w:drawing>
      </w:r>
      <w:r>
        <w:drawing>
          <wp:anchor distT="0" distB="0" distL="0" distR="0" simplePos="0" relativeHeight="251841536" behindDoc="0" locked="0" layoutInCell="0" allowOverlap="1">
            <wp:simplePos x="0" y="0"/>
            <wp:positionH relativeFrom="page">
              <wp:posOffset>3108614</wp:posOffset>
            </wp:positionH>
            <wp:positionV relativeFrom="page">
              <wp:posOffset>1712737</wp:posOffset>
            </wp:positionV>
            <wp:extent cx="406584" cy="863724"/>
            <wp:effectExtent l="0" t="0" r="0" b="0"/>
            <wp:wrapNone/>
            <wp:docPr id="132" name="IM 132"/>
            <wp:cNvGraphicFramePr/>
            <a:graphic>
              <a:graphicData uri="http://schemas.openxmlformats.org/drawingml/2006/picture">
                <pic:pic>
                  <pic:nvPicPr>
                    <pic:cNvPr id="132" name="IM 132"/>
                    <pic:cNvPicPr/>
                  </pic:nvPicPr>
                  <pic:blipFill>
                    <a:blip r:embed="rId91"/>
                    <a:stretch>
                      <a:fillRect/>
                    </a:stretch>
                  </pic:blipFill>
                  <pic:spPr>
                    <a:xfrm rot="0">
                      <a:off x="0" y="0"/>
                      <a:ext cx="406584" cy="863724"/>
                    </a:xfrm>
                    <a:prstGeom prst="rect">
                      <a:avLst/>
                    </a:prstGeom>
                  </pic:spPr>
                </pic:pic>
              </a:graphicData>
            </a:graphic>
          </wp:anchor>
        </w:drawing>
      </w:r>
      <w:r>
        <w:pict>
          <v:shape id="_x0000_s178" style="position:absolute;margin-left:280.756pt;margin-top:157.314pt;mso-position-vertical-relative:page;mso-position-horizontal-relative:page;width:37.65pt;height:23.55pt;z-index:251855872;" o:allowincell="f" filled="false" stroked="false" type="#_x0000_t202">
            <v:fill on="false"/>
            <v:stroke on="false"/>
            <v:path/>
            <v:imagedata o:title=""/>
            <o:lock v:ext="edit" aspectratio="false"/>
            <v:textbox inset="0mm,0mm,0mm,0mm">
              <w:txbxContent>
                <w:p>
                  <w:pPr>
                    <w:pStyle w:val="BodyText"/>
                    <w:ind w:left="20" w:right="20"/>
                    <w:spacing w:before="19" w:line="221" w:lineRule="auto"/>
                    <w:rPr>
                      <w:sz w:val="18"/>
                      <w:szCs w:val="18"/>
                    </w:rPr>
                  </w:pPr>
                  <w:r>
                    <w:rPr>
                      <w:sz w:val="18"/>
                      <w:szCs w:val="18"/>
                      <w:color w:val="FFFFFF"/>
                      <w:spacing w:val="-3"/>
                    </w:rPr>
                    <w:t>数据要素</w:t>
                  </w:r>
                  <w:r>
                    <w:rPr>
                      <w:sz w:val="18"/>
                      <w:szCs w:val="18"/>
                      <w:color w:val="FFFFFF"/>
                      <w:spacing w:val="2"/>
                    </w:rPr>
                    <w:t xml:space="preserve"> </w:t>
                  </w:r>
                  <w:r>
                    <w:rPr>
                      <w:sz w:val="18"/>
                      <w:szCs w:val="18"/>
                      <w:color w:val="FFFFFF"/>
                      <w:spacing w:val="-2"/>
                    </w:rPr>
                    <w:t>流通市场</w:t>
                  </w:r>
                </w:p>
              </w:txbxContent>
            </v:textbox>
          </v:shape>
        </w:pict>
      </w:r>
      <w:r>
        <w:pict>
          <v:shape id="_x0000_s180" style="position:absolute;margin-left:142.048pt;margin-top:157.319pt;mso-position-vertical-relative:page;mso-position-horizontal-relative:page;width:19.6pt;height:23.6pt;z-index:251858944;" o:allowincell="f" filled="false" stroked="false" type="#_x0000_t202">
            <v:fill on="false"/>
            <v:stroke on="false"/>
            <v:path/>
            <v:imagedata o:title=""/>
            <o:lock v:ext="edit" aspectratio="false"/>
            <v:textbox inset="0mm,0mm,0mm,0mm">
              <w:txbxContent>
                <w:p>
                  <w:pPr>
                    <w:pStyle w:val="BodyText"/>
                    <w:ind w:left="20" w:right="20"/>
                    <w:spacing w:before="20" w:line="221" w:lineRule="auto"/>
                    <w:rPr>
                      <w:sz w:val="18"/>
                      <w:szCs w:val="18"/>
                    </w:rPr>
                  </w:pPr>
                  <w:r>
                    <w:rPr>
                      <w:sz w:val="18"/>
                      <w:szCs w:val="18"/>
                      <w:color w:val="231F20"/>
                      <w:spacing w:val="-5"/>
                    </w:rPr>
                    <w:t>数字</w:t>
                  </w:r>
                  <w:r>
                    <w:rPr>
                      <w:sz w:val="18"/>
                      <w:szCs w:val="18"/>
                      <w:color w:val="231F20"/>
                    </w:rPr>
                    <w:t xml:space="preserve"> </w:t>
                  </w:r>
                  <w:r>
                    <w:rPr>
                      <w:sz w:val="18"/>
                      <w:szCs w:val="18"/>
                      <w:color w:val="231F20"/>
                      <w:spacing w:val="-5"/>
                    </w:rPr>
                    <w:t>经济</w:t>
                  </w:r>
                </w:p>
              </w:txbxContent>
            </v:textbox>
          </v:shape>
        </w:pict>
      </w:r>
      <w:r>
        <w:pict>
          <v:shape id="_x0000_s182" style="position:absolute;margin-left:173.704pt;margin-top:163.632pt;mso-position-vertical-relative:page;mso-position-horizontal-relative:page;width:63.6pt;height:12.75pt;z-index:251856896;" o:allowincell="f" filled="false" stroked="false" type="#_x0000_t202">
            <v:fill on="false"/>
            <v:stroke on="false"/>
            <v:path/>
            <v:imagedata o:title=""/>
            <o:lock v:ext="edit" aspectratio="false"/>
            <v:textbox inset="0mm,0mm,0mm,0mm">
              <w:txbxContent>
                <w:p>
                  <w:pPr>
                    <w:pStyle w:val="BodyText"/>
                    <w:ind w:left="20"/>
                    <w:spacing w:before="20" w:line="220" w:lineRule="auto"/>
                    <w:rPr>
                      <w:sz w:val="18"/>
                      <w:szCs w:val="18"/>
                    </w:rPr>
                  </w:pPr>
                  <w:r>
                    <w:rPr>
                      <w:sz w:val="18"/>
                      <w:szCs w:val="18"/>
                      <w:color w:val="231F20"/>
                    </w:rPr>
                    <w:drawing>
                      <wp:inline distT="0" distB="0" distL="0" distR="0">
                        <wp:extent cx="48933" cy="95267"/>
                        <wp:effectExtent l="0" t="0" r="0" b="0"/>
                        <wp:docPr id="134" name="IM 134"/>
                        <wp:cNvGraphicFramePr/>
                        <a:graphic>
                          <a:graphicData uri="http://schemas.openxmlformats.org/drawingml/2006/picture">
                            <pic:pic>
                              <pic:nvPicPr>
                                <pic:cNvPr id="134" name="IM 134"/>
                                <pic:cNvPicPr/>
                              </pic:nvPicPr>
                              <pic:blipFill>
                                <a:blip r:embed="rId92"/>
                                <a:stretch>
                                  <a:fillRect/>
                                </a:stretch>
                              </pic:blipFill>
                              <pic:spPr>
                                <a:xfrm rot="0">
                                  <a:off x="0" y="0"/>
                                  <a:ext cx="48933" cy="95267"/>
                                </a:xfrm>
                                <a:prstGeom prst="rect">
                                  <a:avLst/>
                                </a:prstGeom>
                              </pic:spPr>
                            </pic:pic>
                          </a:graphicData>
                        </a:graphic>
                      </wp:inline>
                    </w:drawing>
                  </w:r>
                  <w:r>
                    <w:rPr>
                      <w:sz w:val="18"/>
                      <w:szCs w:val="18"/>
                      <w:color w:val="231F20"/>
                      <w:spacing w:val="42"/>
                    </w:rPr>
                    <w:t xml:space="preserve">  </w:t>
                  </w:r>
                  <w:r>
                    <w:rPr>
                      <w:sz w:val="18"/>
                      <w:szCs w:val="18"/>
                      <w:color w:val="231F20"/>
                      <w:spacing w:val="-2"/>
                    </w:rPr>
                    <w:t>产业数字化</w:t>
                  </w:r>
                </w:p>
              </w:txbxContent>
            </v:textbox>
          </v:shape>
        </w:pict>
      </w:r>
      <w:r>
        <w:drawing>
          <wp:anchor distT="0" distB="0" distL="0" distR="0" simplePos="0" relativeHeight="251844608" behindDoc="0" locked="0" layoutInCell="0" allowOverlap="1">
            <wp:simplePos x="0" y="0"/>
            <wp:positionH relativeFrom="page">
              <wp:posOffset>1705448</wp:posOffset>
            </wp:positionH>
            <wp:positionV relativeFrom="page">
              <wp:posOffset>1880006</wp:posOffset>
            </wp:positionV>
            <wp:extent cx="440270" cy="529158"/>
            <wp:effectExtent l="0" t="0" r="0" b="0"/>
            <wp:wrapNone/>
            <wp:docPr id="136" name="IM 136"/>
            <wp:cNvGraphicFramePr/>
            <a:graphic>
              <a:graphicData uri="http://schemas.openxmlformats.org/drawingml/2006/picture">
                <pic:pic>
                  <pic:nvPicPr>
                    <pic:cNvPr id="136" name="IM 136"/>
                    <pic:cNvPicPr/>
                  </pic:nvPicPr>
                  <pic:blipFill>
                    <a:blip r:embed="rId93"/>
                    <a:stretch>
                      <a:fillRect/>
                    </a:stretch>
                  </pic:blipFill>
                  <pic:spPr>
                    <a:xfrm rot="0">
                      <a:off x="0" y="0"/>
                      <a:ext cx="440270" cy="529158"/>
                    </a:xfrm>
                    <a:prstGeom prst="rect">
                      <a:avLst/>
                    </a:prstGeom>
                  </pic:spPr>
                </pic:pic>
              </a:graphicData>
            </a:graphic>
          </wp:anchor>
        </w:drawing>
      </w:r>
      <w:r>
        <w:drawing>
          <wp:anchor distT="0" distB="0" distL="0" distR="0" simplePos="0" relativeHeight="251862016" behindDoc="0" locked="0" layoutInCell="0" allowOverlap="1">
            <wp:simplePos x="0" y="0"/>
            <wp:positionH relativeFrom="page">
              <wp:posOffset>3464635</wp:posOffset>
            </wp:positionH>
            <wp:positionV relativeFrom="page">
              <wp:posOffset>2146568</wp:posOffset>
            </wp:positionV>
            <wp:extent cx="50419" cy="51879"/>
            <wp:effectExtent l="0" t="0" r="0" b="0"/>
            <wp:wrapNone/>
            <wp:docPr id="138" name="IM 138"/>
            <wp:cNvGraphicFramePr/>
            <a:graphic>
              <a:graphicData uri="http://schemas.openxmlformats.org/drawingml/2006/picture">
                <pic:pic>
                  <pic:nvPicPr>
                    <pic:cNvPr id="138" name="IM 138"/>
                    <pic:cNvPicPr/>
                  </pic:nvPicPr>
                  <pic:blipFill>
                    <a:blip r:embed="rId94"/>
                    <a:stretch>
                      <a:fillRect/>
                    </a:stretch>
                  </pic:blipFill>
                  <pic:spPr>
                    <a:xfrm rot="0">
                      <a:off x="0" y="0"/>
                      <a:ext cx="50419" cy="51879"/>
                    </a:xfrm>
                    <a:prstGeom prst="rect">
                      <a:avLst/>
                    </a:prstGeom>
                  </pic:spPr>
                </pic:pic>
              </a:graphicData>
            </a:graphic>
          </wp:anchor>
        </w:drawing>
      </w:r>
      <w:r>
        <w:drawing>
          <wp:anchor distT="0" distB="0" distL="0" distR="0" simplePos="0" relativeHeight="251863040" behindDoc="0" locked="0" layoutInCell="0" allowOverlap="1">
            <wp:simplePos x="0" y="0"/>
            <wp:positionH relativeFrom="page">
              <wp:posOffset>3110931</wp:posOffset>
            </wp:positionH>
            <wp:positionV relativeFrom="page">
              <wp:posOffset>2094845</wp:posOffset>
            </wp:positionV>
            <wp:extent cx="404272" cy="69888"/>
            <wp:effectExtent l="0" t="0" r="0" b="0"/>
            <wp:wrapNone/>
            <wp:docPr id="140" name="IM 140"/>
            <wp:cNvGraphicFramePr/>
            <a:graphic>
              <a:graphicData uri="http://schemas.openxmlformats.org/drawingml/2006/picture">
                <pic:pic>
                  <pic:nvPicPr>
                    <pic:cNvPr id="140" name="IM 140"/>
                    <pic:cNvPicPr/>
                  </pic:nvPicPr>
                  <pic:blipFill>
                    <a:blip r:embed="rId95"/>
                    <a:stretch>
                      <a:fillRect/>
                    </a:stretch>
                  </pic:blipFill>
                  <pic:spPr>
                    <a:xfrm rot="0">
                      <a:off x="0" y="0"/>
                      <a:ext cx="404272" cy="69888"/>
                    </a:xfrm>
                    <a:prstGeom prst="rect">
                      <a:avLst/>
                    </a:prstGeom>
                  </pic:spPr>
                </pic:pic>
              </a:graphicData>
            </a:graphic>
          </wp:anchor>
        </w:drawing>
      </w:r>
      <w:r>
        <w:drawing>
          <wp:anchor distT="0" distB="0" distL="0" distR="0" simplePos="0" relativeHeight="251831296" behindDoc="1" locked="0" layoutInCell="0" allowOverlap="1">
            <wp:simplePos x="0" y="0"/>
            <wp:positionH relativeFrom="page">
              <wp:posOffset>3477111</wp:posOffset>
            </wp:positionH>
            <wp:positionV relativeFrom="page">
              <wp:posOffset>2325027</wp:posOffset>
            </wp:positionV>
            <wp:extent cx="327648" cy="560395"/>
            <wp:effectExtent l="0" t="0" r="0" b="0"/>
            <wp:wrapNone/>
            <wp:docPr id="142" name="IM 142"/>
            <wp:cNvGraphicFramePr/>
            <a:graphic>
              <a:graphicData uri="http://schemas.openxmlformats.org/drawingml/2006/picture">
                <pic:pic>
                  <pic:nvPicPr>
                    <pic:cNvPr id="142" name="IM 142"/>
                    <pic:cNvPicPr/>
                  </pic:nvPicPr>
                  <pic:blipFill>
                    <a:blip r:embed="rId96"/>
                    <a:stretch>
                      <a:fillRect/>
                    </a:stretch>
                  </pic:blipFill>
                  <pic:spPr>
                    <a:xfrm rot="0">
                      <a:off x="0" y="0"/>
                      <a:ext cx="327648" cy="560395"/>
                    </a:xfrm>
                    <a:prstGeom prst="rect">
                      <a:avLst/>
                    </a:prstGeom>
                  </pic:spPr>
                </pic:pic>
              </a:graphicData>
            </a:graphic>
          </wp:anchor>
        </w:drawing>
      </w:r>
      <w:r>
        <w:drawing>
          <wp:anchor distT="0" distB="0" distL="0" distR="0" simplePos="0" relativeHeight="251832320" behindDoc="1" locked="0" layoutInCell="0" allowOverlap="1">
            <wp:simplePos x="0" y="0"/>
            <wp:positionH relativeFrom="page">
              <wp:posOffset>3802015</wp:posOffset>
            </wp:positionH>
            <wp:positionV relativeFrom="page">
              <wp:posOffset>2326622</wp:posOffset>
            </wp:positionV>
            <wp:extent cx="528322" cy="560973"/>
            <wp:effectExtent l="0" t="0" r="0" b="0"/>
            <wp:wrapNone/>
            <wp:docPr id="144" name="IM 144"/>
            <wp:cNvGraphicFramePr/>
            <a:graphic>
              <a:graphicData uri="http://schemas.openxmlformats.org/drawingml/2006/picture">
                <pic:pic>
                  <pic:nvPicPr>
                    <pic:cNvPr id="144" name="IM 144"/>
                    <pic:cNvPicPr/>
                  </pic:nvPicPr>
                  <pic:blipFill>
                    <a:blip r:embed="rId97"/>
                    <a:stretch>
                      <a:fillRect/>
                    </a:stretch>
                  </pic:blipFill>
                  <pic:spPr>
                    <a:xfrm rot="0">
                      <a:off x="0" y="0"/>
                      <a:ext cx="528322" cy="560973"/>
                    </a:xfrm>
                    <a:prstGeom prst="rect">
                      <a:avLst/>
                    </a:prstGeom>
                  </pic:spPr>
                </pic:pic>
              </a:graphicData>
            </a:graphic>
          </wp:anchor>
        </w:drawing>
      </w:r>
      <w:r>
        <w:pict>
          <v:group id="_x0000_s184" style="position:absolute;margin-left:273.802pt;margin-top:183.21pt;mso-position-vertical-relative:page;mso-position-horizontal-relative:page;width:29.55pt;height:44pt;z-index:251845632;" o:allowincell="f" filled="false" stroked="false" coordsize="590,880" coordorigin="0,0">
            <v:rect id="_x0000_s186" style="position:absolute;left:511;top:0;width:80;height:81;" fillcolor="#BFBFBF" filled="true" stroked="false"/>
            <v:rect id="_x0000_s188" style="position:absolute;left:0;top:791;width:68;height:88;" fillcolor="#BFBFBF" filled="true" stroked="false"/>
          </v:group>
        </w:pict>
      </w:r>
      <w:r>
        <w:pict>
          <v:shape id="_x0000_s190" style="position:absolute;margin-left:254.874pt;margin-top:231.467pt;mso-position-vertical-relative:page;mso-position-horizontal-relative:page;width:37.6pt;height:12.75pt;z-index:251860992;" o:allowincell="f" filled="false" stroked="false" type="#_x0000_t202">
            <v:fill on="false"/>
            <v:stroke on="false"/>
            <v:path/>
            <v:imagedata o:title=""/>
            <o:lock v:ext="edit" aspectratio="false"/>
            <v:textbox inset="0mm,0mm,0mm,0mm">
              <w:txbxContent>
                <w:p>
                  <w:pPr>
                    <w:pStyle w:val="BodyText"/>
                    <w:ind w:left="20"/>
                    <w:spacing w:before="19" w:line="220" w:lineRule="auto"/>
                    <w:rPr>
                      <w:sz w:val="18"/>
                      <w:szCs w:val="18"/>
                    </w:rPr>
                  </w:pPr>
                  <w:r>
                    <w:rPr>
                      <w:sz w:val="18"/>
                      <w:szCs w:val="18"/>
                      <w:color w:val="231F20"/>
                      <w:spacing w:val="-2"/>
                    </w:rPr>
                    <w:t>社会信用</w:t>
                  </w:r>
                </w:p>
              </w:txbxContent>
            </v:textbox>
          </v:shape>
        </w:pict>
      </w:r>
      <w:r>
        <w:pict>
          <v:shape id="_x0000_s192" style="position:absolute;margin-left:322.383pt;margin-top:231.467pt;mso-position-vertical-relative:page;mso-position-horizontal-relative:page;width:37.45pt;height:37.75pt;z-index:251849728;" o:allowincell="f" filled="false" stroked="false" type="#_x0000_t202">
            <v:fill on="false"/>
            <v:stroke on="false"/>
            <v:path/>
            <v:imagedata o:title=""/>
            <o:lock v:ext="edit" aspectratio="false"/>
            <v:textbox inset="0mm,0mm,0mm,0mm">
              <w:txbxContent>
                <w:p>
                  <w:pPr>
                    <w:pStyle w:val="BodyText"/>
                    <w:ind w:left="20"/>
                    <w:spacing w:before="20" w:line="500" w:lineRule="exact"/>
                    <w:rPr>
                      <w:sz w:val="18"/>
                      <w:szCs w:val="18"/>
                    </w:rPr>
                  </w:pPr>
                  <w:r>
                    <w:rPr>
                      <w:sz w:val="18"/>
                      <w:szCs w:val="18"/>
                      <w:color w:val="231F20"/>
                      <w:spacing w:val="-3"/>
                      <w:position w:val="24"/>
                    </w:rPr>
                    <w:t>市场监管</w:t>
                  </w:r>
                </w:p>
                <w:p>
                  <w:pPr>
                    <w:pStyle w:val="BodyText"/>
                    <w:ind w:left="22"/>
                    <w:spacing w:line="219" w:lineRule="auto"/>
                    <w:rPr>
                      <w:sz w:val="18"/>
                      <w:szCs w:val="18"/>
                    </w:rPr>
                  </w:pPr>
                  <w:r>
                    <w:rPr>
                      <w:sz w:val="18"/>
                      <w:szCs w:val="18"/>
                      <w:color w:val="231F20"/>
                      <w:spacing w:val="-3"/>
                    </w:rPr>
                    <w:t>乡村建设</w:t>
                  </w:r>
                </w:p>
              </w:txbxContent>
            </v:textbox>
          </v:shape>
        </w:pict>
      </w:r>
      <w:r>
        <w:pict>
          <v:shape id="_x0000_s194" style="position:absolute;margin-left:178.509pt;margin-top:231.467pt;mso-position-vertical-relative:page;mso-position-horizontal-relative:page;width:55.65pt;height:12.75pt;z-index:251857920;" o:allowincell="f" filled="false" stroked="false" type="#_x0000_t202">
            <v:fill on="false"/>
            <v:stroke on="false"/>
            <v:path/>
            <v:imagedata o:title=""/>
            <o:lock v:ext="edit" aspectratio="false"/>
            <v:textbox inset="0mm,0mm,0mm,0mm">
              <w:txbxContent>
                <w:p>
                  <w:pPr>
                    <w:pStyle w:val="BodyText"/>
                    <w:ind w:left="20"/>
                    <w:spacing w:before="20" w:line="220" w:lineRule="auto"/>
                    <w:rPr>
                      <w:sz w:val="18"/>
                      <w:szCs w:val="18"/>
                    </w:rPr>
                  </w:pPr>
                  <w:r>
                    <w:rPr>
                      <w:sz w:val="18"/>
                      <w:szCs w:val="18"/>
                      <w:color w:val="231F20"/>
                      <w:spacing w:val="-2"/>
                    </w:rPr>
                    <w:t>新型智慧城市</w:t>
                  </w:r>
                </w:p>
              </w:txbxContent>
            </v:textbox>
          </v:shape>
        </w:pict>
      </w:r>
      <w:r>
        <w:pict>
          <v:shape id="_x0000_s196" style="position:absolute;margin-left:142.048pt;margin-top:237.311pt;mso-position-vertical-relative:page;mso-position-horizontal-relative:page;width:19.6pt;height:23.55pt;z-index:251859968;" o:allowincell="f" filled="false" stroked="false" type="#_x0000_t202">
            <v:fill on="false"/>
            <v:stroke on="false"/>
            <v:path/>
            <v:imagedata o:title=""/>
            <o:lock v:ext="edit" aspectratio="false"/>
            <v:textbox inset="0mm,0mm,0mm,0mm">
              <w:txbxContent>
                <w:p>
                  <w:pPr>
                    <w:pStyle w:val="BodyText"/>
                    <w:ind w:left="20" w:right="20"/>
                    <w:spacing w:before="19" w:line="221" w:lineRule="auto"/>
                    <w:rPr>
                      <w:sz w:val="18"/>
                      <w:szCs w:val="18"/>
                    </w:rPr>
                  </w:pPr>
                  <w:r>
                    <w:rPr>
                      <w:sz w:val="18"/>
                      <w:szCs w:val="18"/>
                      <w:color w:val="231F20"/>
                      <w:spacing w:val="-5"/>
                    </w:rPr>
                    <w:t>数字</w:t>
                  </w:r>
                  <w:r>
                    <w:rPr>
                      <w:sz w:val="18"/>
                      <w:szCs w:val="18"/>
                      <w:color w:val="231F20"/>
                    </w:rPr>
                    <w:t xml:space="preserve"> </w:t>
                  </w:r>
                  <w:r>
                    <w:rPr>
                      <w:sz w:val="18"/>
                      <w:szCs w:val="18"/>
                      <w:color w:val="231F20"/>
                      <w:spacing w:val="-5"/>
                    </w:rPr>
                    <w:t>社会</w:t>
                  </w:r>
                </w:p>
              </w:txbxContent>
            </v:textbox>
          </v:shape>
        </w:pict>
      </w:r>
      <w:r>
        <w:pict>
          <v:shape id="_x0000_s198" style="position:absolute;margin-left:174.954pt;margin-top:252.199pt;mso-position-vertical-relative:page;mso-position-horizontal-relative:page;width:62.35pt;height:19pt;z-index:251852800;" o:allowincell="f" fillcolor="#C7C8CA" filled="true" stroked="false" type="#_x0000_t202">
            <v:fill on="true"/>
            <v:stroke on="false"/>
            <v:path/>
            <v:imagedata o:title=""/>
            <o:lock v:ext="edit" aspectratio="false"/>
            <v:textbox inset="0mm,0mm,0mm,0mm">
              <w:txbxContent>
                <w:p>
                  <w:pPr>
                    <w:pStyle w:val="BodyText"/>
                    <w:ind w:left="288"/>
                    <w:spacing w:before="105" w:line="220" w:lineRule="auto"/>
                    <w:rPr>
                      <w:sz w:val="18"/>
                      <w:szCs w:val="18"/>
                    </w:rPr>
                  </w:pPr>
                  <w:r>
                    <w:rPr>
                      <w:sz w:val="18"/>
                      <w:szCs w:val="18"/>
                      <w:color w:val="231F20"/>
                      <w:spacing w:val="-5"/>
                    </w:rPr>
                    <w:t>民生服务</w:t>
                  </w:r>
                </w:p>
              </w:txbxContent>
            </v:textbox>
          </v:shape>
        </w:pict>
      </w:r>
      <w:r>
        <w:pict>
          <v:shape id="_x0000_s200" style="position:absolute;margin-left:242.288pt;margin-top:252.199pt;mso-position-vertical-relative:page;mso-position-horizontal-relative:page;width:62.35pt;height:19pt;z-index:251853824;" o:allowincell="f" fillcolor="#C7C8CA" filled="true" stroked="false" type="#_x0000_t202">
            <v:fill on="true"/>
            <v:stroke on="false"/>
            <v:path/>
            <v:imagedata o:title=""/>
            <o:lock v:ext="edit" aspectratio="false"/>
            <v:textbox inset="0mm,0mm,0mm,0mm">
              <w:txbxContent>
                <w:p>
                  <w:pPr>
                    <w:pStyle w:val="BodyText"/>
                    <w:ind w:left="275"/>
                    <w:spacing w:before="105" w:line="220" w:lineRule="auto"/>
                    <w:rPr>
                      <w:sz w:val="18"/>
                      <w:szCs w:val="18"/>
                    </w:rPr>
                  </w:pPr>
                  <w:r>
                    <w:rPr>
                      <w:sz w:val="18"/>
                      <w:szCs w:val="18"/>
                      <w:color w:val="231F20"/>
                      <w:spacing w:val="-3"/>
                    </w:rPr>
                    <w:t>公共安全</w:t>
                  </w:r>
                </w:p>
              </w:txbxContent>
            </v:textbox>
          </v:shape>
        </w:pict>
      </w:r>
      <w:r>
        <w:drawing>
          <wp:anchor distT="0" distB="0" distL="0" distR="0" simplePos="0" relativeHeight="251843584" behindDoc="0" locked="0" layoutInCell="0" allowOverlap="1">
            <wp:simplePos x="0" y="0"/>
            <wp:positionH relativeFrom="page">
              <wp:posOffset>1705448</wp:posOffset>
            </wp:positionH>
            <wp:positionV relativeFrom="page">
              <wp:posOffset>2896001</wp:posOffset>
            </wp:positionV>
            <wp:extent cx="440270" cy="529170"/>
            <wp:effectExtent l="0" t="0" r="0" b="0"/>
            <wp:wrapNone/>
            <wp:docPr id="146" name="IM 146"/>
            <wp:cNvGraphicFramePr/>
            <a:graphic>
              <a:graphicData uri="http://schemas.openxmlformats.org/drawingml/2006/picture">
                <pic:pic>
                  <pic:nvPicPr>
                    <pic:cNvPr id="146" name="IM 146"/>
                    <pic:cNvPicPr/>
                  </pic:nvPicPr>
                  <pic:blipFill>
                    <a:blip r:embed="rId98"/>
                    <a:stretch>
                      <a:fillRect/>
                    </a:stretch>
                  </pic:blipFill>
                  <pic:spPr>
                    <a:xfrm rot="0">
                      <a:off x="0" y="0"/>
                      <a:ext cx="440270" cy="529170"/>
                    </a:xfrm>
                    <a:prstGeom prst="rect">
                      <a:avLst/>
                    </a:prstGeom>
                  </pic:spPr>
                </pic:pic>
              </a:graphicData>
            </a:graphic>
          </wp:anchor>
        </w:drawing>
      </w:r>
      <w:r>
        <w:rPr>
          <w:rFonts w:ascii="Microsoft YaHei" w:hAnsi="Microsoft YaHei" w:eastAsia="Microsoft YaHei" w:cs="Microsoft YaHei"/>
          <w:sz w:val="18"/>
          <w:szCs w:val="18"/>
          <w:color w:val="4B4C4D"/>
          <w:spacing w:val="-2"/>
        </w:rPr>
        <w:t>第 </w:t>
      </w:r>
      <w:r>
        <w:rPr>
          <w:rFonts w:ascii="Arial" w:hAnsi="Arial" w:eastAsia="Arial" w:cs="Arial"/>
          <w:sz w:val="18"/>
          <w:szCs w:val="18"/>
          <w:b/>
          <w:bCs/>
          <w:color w:val="4B4C4D"/>
          <w:spacing w:val="-2"/>
        </w:rPr>
        <w:t>1 </w:t>
      </w:r>
      <w:r>
        <w:rPr>
          <w:rFonts w:ascii="Microsoft YaHei" w:hAnsi="Microsoft YaHei" w:eastAsia="Microsoft YaHei" w:cs="Microsoft YaHei"/>
          <w:sz w:val="18"/>
          <w:szCs w:val="18"/>
          <w:color w:val="4B4C4D"/>
          <w:spacing w:val="-2"/>
        </w:rPr>
        <w:t>章</w:t>
      </w:r>
      <w:r>
        <w:rPr>
          <w:rFonts w:ascii="Microsoft YaHei" w:hAnsi="Microsoft YaHei" w:eastAsia="Microsoft YaHei" w:cs="Microsoft YaHei"/>
          <w:sz w:val="18"/>
          <w:szCs w:val="18"/>
          <w:color w:val="4B4C4D"/>
          <w:spacing w:val="9"/>
        </w:rPr>
        <w:t xml:space="preserve">   </w:t>
      </w:r>
      <w:r>
        <w:rPr>
          <w:rFonts w:ascii="Microsoft YaHei" w:hAnsi="Microsoft YaHei" w:eastAsia="Microsoft YaHei" w:cs="Microsoft YaHei"/>
          <w:sz w:val="18"/>
          <w:szCs w:val="18"/>
          <w:color w:val="4B4C4D"/>
          <w:spacing w:val="-2"/>
        </w:rPr>
        <w:t>数据与数据治理  </w:t>
      </w:r>
      <w:r>
        <w:rPr>
          <w:sz w:val="18"/>
          <w:szCs w:val="18"/>
          <w:position w:val="-2"/>
        </w:rPr>
        <w:drawing>
          <wp:inline distT="0" distB="0" distL="0" distR="0">
            <wp:extent cx="339153" cy="105117"/>
            <wp:effectExtent l="0" t="0" r="0" b="0"/>
            <wp:docPr id="148" name="IM 148"/>
            <wp:cNvGraphicFramePr/>
            <a:graphic>
              <a:graphicData uri="http://schemas.openxmlformats.org/drawingml/2006/picture">
                <pic:pic>
                  <pic:nvPicPr>
                    <pic:cNvPr id="148" name="IM 148"/>
                    <pic:cNvPicPr/>
                  </pic:nvPicPr>
                  <pic:blipFill>
                    <a:blip r:embed="rId99"/>
                    <a:stretch>
                      <a:fillRect/>
                    </a:stretch>
                  </pic:blipFill>
                  <pic:spPr>
                    <a:xfrm rot="0">
                      <a:off x="0" y="0"/>
                      <a:ext cx="339153" cy="105117"/>
                    </a:xfrm>
                    <a:prstGeom prst="rect">
                      <a:avLst/>
                    </a:prstGeom>
                  </pic:spPr>
                </pic:pic>
              </a:graphicData>
            </a:graphic>
          </wp:inline>
        </w:drawing>
      </w:r>
    </w:p>
    <w:p>
      <w:pPr>
        <w:spacing w:line="374" w:lineRule="auto"/>
        <w:rPr>
          <w:rFonts w:ascii="Arial"/>
          <w:sz w:val="21"/>
        </w:rPr>
      </w:pPr>
      <w:r/>
    </w:p>
    <w:p>
      <w:pPr>
        <w:pStyle w:val="BodyText"/>
        <w:ind w:firstLine="3711"/>
        <w:spacing w:line="870" w:lineRule="exact"/>
        <w:rPr/>
      </w:pPr>
      <w:r>
        <w:rPr>
          <w:position w:val="-17"/>
        </w:rPr>
        <w:pict>
          <v:group id="_x0000_s202" style="mso-position-vertical-relative:line;mso-position-horizontal-relative:char;width:62.35pt;height:43.5pt;" filled="false" stroked="false" coordsize="1246,870" coordorigin="0,0">
            <v:shape id="_x0000_s204" style="position:absolute;left:0;top:0;width:1246;height:870;" filled="false" stroked="false" type="#_x0000_t75">
              <v:imagedata o:title="" r:id="rId100"/>
            </v:shape>
            <v:shape id="_x0000_s206" style="position:absolute;left:-20;top:-20;width:1286;height:910;" filled="false" stroked="false" type="#_x0000_t202">
              <v:fill on="false"/>
              <v:stroke on="false"/>
              <v:path/>
              <v:imagedata o:title=""/>
              <o:lock v:ext="edit" aspectratio="false"/>
              <v:textbox inset="0mm,0mm,0mm,0mm">
                <w:txbxContent>
                  <w:p>
                    <w:pPr>
                      <w:ind w:left="154"/>
                      <w:spacing w:before="125" w:line="220" w:lineRule="auto"/>
                      <w:rPr>
                        <w:rFonts w:ascii="SimSun" w:hAnsi="SimSun" w:eastAsia="SimSun" w:cs="SimSun"/>
                        <w:sz w:val="18"/>
                        <w:szCs w:val="18"/>
                      </w:rPr>
                    </w:pPr>
                    <w:r>
                      <w:rPr>
                        <w:rFonts w:ascii="SimSun" w:hAnsi="SimSun" w:eastAsia="SimSun" w:cs="SimSun"/>
                        <w:sz w:val="18"/>
                        <w:szCs w:val="18"/>
                        <w:color w:val="231F20"/>
                        <w:spacing w:val="-2"/>
                      </w:rPr>
                      <w:t>互联网+政务</w:t>
                    </w:r>
                  </w:p>
                  <w:p>
                    <w:pPr>
                      <w:ind w:left="111"/>
                      <w:spacing w:before="275" w:line="220" w:lineRule="auto"/>
                      <w:rPr>
                        <w:rFonts w:ascii="SimSun" w:hAnsi="SimSun" w:eastAsia="SimSun" w:cs="SimSun"/>
                        <w:sz w:val="18"/>
                        <w:szCs w:val="18"/>
                      </w:rPr>
                    </w:pPr>
                    <w:r>
                      <w:rPr>
                        <w:rFonts w:ascii="SimSun" w:hAnsi="SimSun" w:eastAsia="SimSun" w:cs="SimSun"/>
                        <w:sz w:val="18"/>
                        <w:szCs w:val="18"/>
                        <w:color w:val="231F20"/>
                        <w:spacing w:val="-2"/>
                      </w:rPr>
                      <w:t>数据共享开放</w:t>
                    </w:r>
                  </w:p>
                </w:txbxContent>
              </v:textbox>
            </v:shape>
          </v:group>
        </w:pict>
      </w:r>
    </w:p>
    <w:p>
      <w:pPr>
        <w:spacing w:line="325" w:lineRule="auto"/>
        <w:rPr>
          <w:rFonts w:ascii="Arial"/>
          <w:sz w:val="21"/>
        </w:rPr>
      </w:pPr>
      <w:r/>
    </w:p>
    <w:p>
      <w:pPr>
        <w:pStyle w:val="BodyText"/>
        <w:ind w:left="2419"/>
        <w:spacing w:before="58" w:line="220" w:lineRule="auto"/>
        <w:rPr>
          <w:sz w:val="18"/>
          <w:szCs w:val="18"/>
        </w:rPr>
      </w:pPr>
      <w:r>
        <mc:AlternateContent xmlns:mc="http://schemas.openxmlformats.org/markup-compatibility/2006">
          <mc:Choice Requires="wps">
            <w:drawing>
              <wp:anchor distT="0" distB="0" distL="0" distR="0" simplePos="0" relativeHeight="251833344" behindDoc="1" locked="0" layoutInCell="1" allowOverlap="1">
                <wp:simplePos x="0" y="0"/>
                <wp:positionH relativeFrom="column">
                  <wp:posOffset>1594628</wp:posOffset>
                </wp:positionH>
                <wp:positionV relativeFrom="paragraph">
                  <wp:posOffset>-29674</wp:posOffset>
                </wp:positionV>
                <wp:extent cx="791844" cy="241300"/>
                <wp:effectExtent l="0" t="0" r="0" b="0"/>
                <wp:wrapNone/>
                <wp:docPr id="150" name="Rect 150"/>
                <wp:cNvGraphicFramePr/>
                <a:graphic>
                  <a:graphicData uri="http://schemas.microsoft.com/office/word/2010/wordprocessingShape">
                    <wps:wsp>
                      <wps:cNvPr id="150" name="Rect 150"/>
                      <wps:cNvSpPr/>
                      <wps:spPr>
                        <a:xfrm>
                          <a:off x="1594628" y="-29674"/>
                          <a:ext cx="791844" cy="241300"/>
                        </a:xfrm>
                        <a:prstGeom prst="rect">
                          <a:avLst/>
                        </a:prstGeom>
                        <a:solidFill>
                          <a:srgbClr val="DCDDDF"/>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208" style="position:absolute;margin-left:125.561pt;margin-top:-2.33656pt;mso-position-vertical-relative:text;mso-position-horizontal-relative:text;width:62.35pt;height:19pt;z-index:-251483136;" fillcolor="#DCDDDF" filled="true" stroked="false"/>
            </w:pict>
          </mc:Fallback>
        </mc:AlternateContent>
      </w:r>
      <w:r>
        <w:drawing>
          <wp:anchor distT="0" distB="0" distL="0" distR="0" simplePos="0" relativeHeight="251834368" behindDoc="1" locked="0" layoutInCell="1" allowOverlap="1">
            <wp:simplePos x="0" y="0"/>
            <wp:positionH relativeFrom="column">
              <wp:posOffset>2241795</wp:posOffset>
            </wp:positionH>
            <wp:positionV relativeFrom="paragraph">
              <wp:posOffset>-206948</wp:posOffset>
            </wp:positionV>
            <wp:extent cx="837294" cy="548237"/>
            <wp:effectExtent l="0" t="0" r="0" b="0"/>
            <wp:wrapNone/>
            <wp:docPr id="152" name="IM 152"/>
            <wp:cNvGraphicFramePr/>
            <a:graphic>
              <a:graphicData uri="http://schemas.openxmlformats.org/drawingml/2006/picture">
                <pic:pic>
                  <pic:nvPicPr>
                    <pic:cNvPr id="152" name="IM 152"/>
                    <pic:cNvPicPr/>
                  </pic:nvPicPr>
                  <pic:blipFill>
                    <a:blip r:embed="rId101"/>
                    <a:stretch>
                      <a:fillRect/>
                    </a:stretch>
                  </pic:blipFill>
                  <pic:spPr>
                    <a:xfrm rot="0">
                      <a:off x="0" y="0"/>
                      <a:ext cx="837294" cy="548237"/>
                    </a:xfrm>
                    <a:prstGeom prst="rect">
                      <a:avLst/>
                    </a:prstGeom>
                  </pic:spPr>
                </pic:pic>
              </a:graphicData>
            </a:graphic>
          </wp:anchor>
        </w:drawing>
      </w:r>
      <w:r>
        <w:rPr>
          <w:sz w:val="18"/>
          <w:szCs w:val="18"/>
          <w:color w:val="231F20"/>
          <w:position w:val="1"/>
        </w:rPr>
        <w:drawing>
          <wp:inline distT="0" distB="0" distL="0" distR="0">
            <wp:extent cx="39966" cy="58178"/>
            <wp:effectExtent l="0" t="0" r="0" b="0"/>
            <wp:docPr id="154" name="IM 154"/>
            <wp:cNvGraphicFramePr/>
            <a:graphic>
              <a:graphicData uri="http://schemas.openxmlformats.org/drawingml/2006/picture">
                <pic:pic>
                  <pic:nvPicPr>
                    <pic:cNvPr id="154" name="IM 154"/>
                    <pic:cNvPicPr/>
                  </pic:nvPicPr>
                  <pic:blipFill>
                    <a:blip r:embed="rId102"/>
                    <a:stretch>
                      <a:fillRect/>
                    </a:stretch>
                  </pic:blipFill>
                  <pic:spPr>
                    <a:xfrm rot="0">
                      <a:off x="0" y="0"/>
                      <a:ext cx="39966" cy="58178"/>
                    </a:xfrm>
                    <a:prstGeom prst="rect">
                      <a:avLst/>
                    </a:prstGeom>
                  </pic:spPr>
                </pic:pic>
              </a:graphicData>
            </a:graphic>
          </wp:inline>
        </w:drawing>
      </w:r>
      <w:r>
        <w:rPr>
          <w:sz w:val="18"/>
          <w:szCs w:val="18"/>
          <w:color w:val="231F20"/>
          <w:spacing w:val="16"/>
        </w:rPr>
        <w:t xml:space="preserve">  </w:t>
      </w:r>
      <w:r>
        <w:rPr>
          <w:sz w:val="18"/>
          <w:szCs w:val="18"/>
          <w:color w:val="231F20"/>
          <w:spacing w:val="-2"/>
        </w:rPr>
        <w:t>数字产业化</w:t>
      </w:r>
    </w:p>
    <w:p>
      <w:pPr>
        <w:pStyle w:val="BodyText"/>
        <w:ind w:firstLine="461"/>
        <w:spacing w:before="129" w:line="834" w:lineRule="exact"/>
        <w:rPr/>
      </w:pPr>
      <w:r>
        <w:rPr>
          <w:position w:val="-16"/>
        </w:rPr>
        <w:pict>
          <v:group id="_x0000_s210" style="mso-position-vertical-relative:line;mso-position-horizontal-relative:char;width:34.7pt;height:41.7pt;" filled="false" stroked="false" coordsize="694,834" coordorigin="0,0">
            <v:shape id="_x0000_s212" style="position:absolute;left:0;top:0;width:694;height:834;" filled="false" stroked="false" type="#_x0000_t75">
              <v:imagedata o:title="" r:id="rId103"/>
            </v:shape>
            <v:shape id="_x0000_s214" style="position:absolute;left:-20;top:-20;width:734;height:874;" filled="false" stroked="false" type="#_x0000_t202">
              <v:fill on="false"/>
              <v:stroke on="false"/>
              <v:path/>
              <v:imagedata o:title=""/>
              <o:lock v:ext="edit" aspectratio="false"/>
              <v:textbox inset="0mm,0mm,0mm,0mm">
                <w:txbxContent>
                  <w:p>
                    <w:pPr>
                      <w:ind w:left="195"/>
                      <w:spacing w:before="225" w:line="222" w:lineRule="auto"/>
                      <w:rPr>
                        <w:rFonts w:ascii="SimSun" w:hAnsi="SimSun" w:eastAsia="SimSun" w:cs="SimSun"/>
                        <w:sz w:val="18"/>
                        <w:szCs w:val="18"/>
                      </w:rPr>
                    </w:pPr>
                    <w:r>
                      <w:rPr>
                        <w:rFonts w:ascii="SimSun" w:hAnsi="SimSun" w:eastAsia="SimSun" w:cs="SimSun"/>
                        <w:sz w:val="18"/>
                        <w:szCs w:val="18"/>
                        <w:color w:val="FFFFFF"/>
                        <w:spacing w:val="-3"/>
                      </w:rPr>
                      <w:t>数字</w:t>
                    </w:r>
                  </w:p>
                  <w:p>
                    <w:pPr>
                      <w:ind w:left="210"/>
                      <w:spacing w:line="220" w:lineRule="auto"/>
                      <w:rPr>
                        <w:rFonts w:ascii="SimSun" w:hAnsi="SimSun" w:eastAsia="SimSun" w:cs="SimSun"/>
                        <w:sz w:val="18"/>
                        <w:szCs w:val="18"/>
                      </w:rPr>
                    </w:pPr>
                    <w:r>
                      <w:rPr>
                        <w:rFonts w:ascii="SimSun" w:hAnsi="SimSun" w:eastAsia="SimSun" w:cs="SimSun"/>
                        <w:sz w:val="18"/>
                        <w:szCs w:val="18"/>
                        <w:color w:val="FFFFFF"/>
                        <w:spacing w:val="-6"/>
                      </w:rPr>
                      <w:t>中国</w:t>
                    </w:r>
                  </w:p>
                </w:txbxContent>
              </v:textbox>
            </v:shape>
          </v:group>
        </w:pict>
      </w:r>
    </w:p>
    <w:p>
      <w:pPr>
        <w:pStyle w:val="BodyText"/>
        <w:ind w:left="2419"/>
        <w:spacing w:before="175" w:line="220" w:lineRule="auto"/>
        <w:rPr>
          <w:sz w:val="18"/>
          <w:szCs w:val="18"/>
        </w:rPr>
      </w:pPr>
      <w:r>
        <mc:AlternateContent xmlns:mc="http://schemas.openxmlformats.org/markup-compatibility/2006">
          <mc:Choice Requires="wps">
            <w:drawing>
              <wp:anchor distT="0" distB="0" distL="0" distR="0" simplePos="0" relativeHeight="251835392" behindDoc="1" locked="0" layoutInCell="1" allowOverlap="1">
                <wp:simplePos x="0" y="0"/>
                <wp:positionH relativeFrom="column">
                  <wp:posOffset>1594628</wp:posOffset>
                </wp:positionH>
                <wp:positionV relativeFrom="paragraph">
                  <wp:posOffset>44611</wp:posOffset>
                </wp:positionV>
                <wp:extent cx="791844" cy="241300"/>
                <wp:effectExtent l="0" t="0" r="0" b="0"/>
                <wp:wrapNone/>
                <wp:docPr id="156" name="Rect 156"/>
                <wp:cNvGraphicFramePr/>
                <a:graphic>
                  <a:graphicData uri="http://schemas.microsoft.com/office/word/2010/wordprocessingShape">
                    <wps:wsp>
                      <wps:cNvPr id="156" name="Rect 156"/>
                      <wps:cNvSpPr/>
                      <wps:spPr>
                        <a:xfrm>
                          <a:off x="1594628" y="44611"/>
                          <a:ext cx="791844" cy="241300"/>
                        </a:xfrm>
                        <a:prstGeom prst="rect">
                          <a:avLst/>
                        </a:prstGeom>
                        <a:solidFill>
                          <a:srgbClr val="DCDDDF"/>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216" style="position:absolute;margin-left:125.561pt;margin-top:3.5127pt;mso-position-vertical-relative:text;mso-position-horizontal-relative:text;width:62.35pt;height:19pt;z-index:-251481088;" fillcolor="#DCDDDF" filled="true" stroked="false"/>
            </w:pict>
          </mc:Fallback>
        </mc:AlternateContent>
      </w:r>
      <w:r>
        <w:rPr>
          <w:sz w:val="18"/>
          <w:szCs w:val="18"/>
          <w:color w:val="231F20"/>
          <w:position w:val="2"/>
        </w:rPr>
        <w:drawing>
          <wp:inline distT="0" distB="0" distL="0" distR="0">
            <wp:extent cx="39966" cy="58178"/>
            <wp:effectExtent l="0" t="0" r="0" b="0"/>
            <wp:docPr id="158" name="IM 158"/>
            <wp:cNvGraphicFramePr/>
            <a:graphic>
              <a:graphicData uri="http://schemas.openxmlformats.org/drawingml/2006/picture">
                <pic:pic>
                  <pic:nvPicPr>
                    <pic:cNvPr id="158" name="IM 158"/>
                    <pic:cNvPicPr/>
                  </pic:nvPicPr>
                  <pic:blipFill>
                    <a:blip r:embed="rId104"/>
                    <a:stretch>
                      <a:fillRect/>
                    </a:stretch>
                  </pic:blipFill>
                  <pic:spPr>
                    <a:xfrm rot="0">
                      <a:off x="0" y="0"/>
                      <a:ext cx="39966" cy="58178"/>
                    </a:xfrm>
                    <a:prstGeom prst="rect">
                      <a:avLst/>
                    </a:prstGeom>
                  </pic:spPr>
                </pic:pic>
              </a:graphicData>
            </a:graphic>
          </wp:inline>
        </w:drawing>
      </w:r>
      <w:r>
        <w:rPr>
          <w:sz w:val="18"/>
          <w:szCs w:val="18"/>
          <w:color w:val="231F20"/>
          <w:spacing w:val="28"/>
        </w:rPr>
        <w:t xml:space="preserve"> </w:t>
      </w:r>
      <w:r>
        <w:rPr>
          <w:sz w:val="18"/>
          <w:szCs w:val="18"/>
          <w:color w:val="231F20"/>
          <w:spacing w:val="-1"/>
        </w:rPr>
        <w:t>基础支撑能力</w:t>
      </w:r>
    </w:p>
    <w:p>
      <w:pPr>
        <w:spacing w:line="263" w:lineRule="auto"/>
        <w:rPr>
          <w:rFonts w:ascii="Arial"/>
          <w:sz w:val="21"/>
        </w:rPr>
      </w:pPr>
      <w:r/>
    </w:p>
    <w:p>
      <w:pPr>
        <w:spacing w:line="263" w:lineRule="auto"/>
        <w:rPr>
          <w:rFonts w:ascii="Arial"/>
          <w:sz w:val="21"/>
        </w:rPr>
      </w:pPr>
      <w:r/>
    </w:p>
    <w:p>
      <w:pPr>
        <w:pStyle w:val="BodyText"/>
        <w:ind w:firstLine="6491"/>
        <w:spacing w:before="1" w:line="570" w:lineRule="exact"/>
        <w:rPr/>
      </w:pPr>
      <w:r>
        <w:rPr>
          <w:position w:val="-11"/>
        </w:rPr>
        <w:pict>
          <v:shape id="_x0000_s218" style="mso-position-vertical-relative:line;mso-position-horizontal-relative:char;width:62.7pt;height:28.5pt;" fillcolor="#C7C8CA" filled="true" stroked="false" type="#_x0000_t202">
            <v:fill on="true"/>
            <v:stroke on="false"/>
            <v:path/>
            <v:imagedata o:title=""/>
            <o:lock v:ext="edit" aspectratio="false"/>
            <v:textbox inset="0mm,0mm,0mm,0mm">
              <w:txbxContent>
                <w:p>
                  <w:pPr>
                    <w:ind w:left="123" w:right="86" w:hanging="28"/>
                    <w:spacing w:before="73" w:line="221" w:lineRule="auto"/>
                    <w:rPr>
                      <w:rFonts w:ascii="SimSun" w:hAnsi="SimSun" w:eastAsia="SimSun" w:cs="SimSun"/>
                      <w:sz w:val="18"/>
                      <w:szCs w:val="18"/>
                    </w:rPr>
                  </w:pPr>
                  <w:r>
                    <w:rPr>
                      <w:rFonts w:ascii="SimSun" w:hAnsi="SimSun" w:eastAsia="SimSun" w:cs="SimSun"/>
                      <w:sz w:val="18"/>
                      <w:szCs w:val="18"/>
                      <w:color w:val="231F20"/>
                      <w:spacing w:val="-2"/>
                    </w:rPr>
                    <w:t>生态环境治理</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7"/>
                    </w:rPr>
                    <w:t>自然资源监管</w:t>
                  </w:r>
                </w:p>
              </w:txbxContent>
            </v:textbox>
          </v:shape>
        </w:pict>
      </w:r>
    </w:p>
    <w:p>
      <w:pPr>
        <w:pStyle w:val="BodyText"/>
        <w:ind w:left="2912"/>
        <w:spacing w:before="261" w:line="220" w:lineRule="auto"/>
        <w:rPr>
          <w:sz w:val="18"/>
          <w:szCs w:val="18"/>
        </w:rPr>
      </w:pPr>
      <w:r>
        <w:rPr>
          <w:sz w:val="18"/>
          <w:szCs w:val="18"/>
          <w:color w:val="231F20"/>
          <w:spacing w:val="-3"/>
        </w:rPr>
        <w:t>图</w:t>
      </w:r>
      <w:r>
        <w:rPr>
          <w:sz w:val="18"/>
          <w:szCs w:val="18"/>
          <w:color w:val="231F20"/>
          <w:spacing w:val="-16"/>
        </w:rPr>
        <w:t xml:space="preserve"> </w:t>
      </w:r>
      <w:r>
        <w:rPr>
          <w:rFonts w:ascii="Times New Roman" w:hAnsi="Times New Roman" w:eastAsia="Times New Roman" w:cs="Times New Roman"/>
          <w:sz w:val="18"/>
          <w:szCs w:val="18"/>
          <w:color w:val="231F20"/>
          <w:spacing w:val="-3"/>
        </w:rPr>
        <w:t>1.5    </w:t>
      </w:r>
      <w:r>
        <w:rPr>
          <w:sz w:val="18"/>
          <w:szCs w:val="18"/>
          <w:color w:val="231F20"/>
          <w:spacing w:val="-3"/>
        </w:rPr>
        <w:t>数据要素市场培育方向</w:t>
      </w:r>
    </w:p>
    <w:p>
      <w:pPr>
        <w:spacing w:line="394" w:lineRule="auto"/>
        <w:rPr>
          <w:rFonts w:ascii="Arial"/>
          <w:sz w:val="21"/>
        </w:rPr>
      </w:pPr>
      <w:r/>
    </w:p>
    <w:p>
      <w:pPr>
        <w:ind w:left="13"/>
        <w:spacing w:before="112" w:line="204" w:lineRule="auto"/>
        <w:rPr>
          <w:rFonts w:ascii="Microsoft YaHei" w:hAnsi="Microsoft YaHei" w:eastAsia="Microsoft YaHei" w:cs="Microsoft YaHei"/>
          <w:sz w:val="26"/>
          <w:szCs w:val="26"/>
        </w:rPr>
      </w:pPr>
      <w:r>
        <w:rPr>
          <w:rFonts w:ascii="Arial" w:hAnsi="Arial" w:eastAsia="Arial" w:cs="Arial"/>
          <w:sz w:val="26"/>
          <w:szCs w:val="26"/>
          <w:b/>
          <w:bCs/>
          <w:color w:val="231F20"/>
          <w:spacing w:val="-3"/>
        </w:rPr>
        <w:t>1.3</w:t>
      </w:r>
      <w:r>
        <w:rPr>
          <w:rFonts w:ascii="Arial" w:hAnsi="Arial" w:eastAsia="Arial" w:cs="Arial"/>
          <w:sz w:val="26"/>
          <w:szCs w:val="26"/>
          <w:b/>
          <w:bCs/>
          <w:color w:val="231F20"/>
          <w:spacing w:val="19"/>
        </w:rPr>
        <w:t xml:space="preserve">   </w:t>
      </w:r>
      <w:r>
        <w:rPr>
          <w:rFonts w:ascii="Microsoft YaHei" w:hAnsi="Microsoft YaHei" w:eastAsia="Microsoft YaHei" w:cs="Microsoft YaHei"/>
          <w:sz w:val="26"/>
          <w:szCs w:val="26"/>
          <w:color w:val="231F20"/>
          <w:spacing w:val="-3"/>
        </w:rPr>
        <w:t>数据治理的研究进展</w:t>
      </w:r>
    </w:p>
    <w:p>
      <w:pPr>
        <w:pStyle w:val="BodyText"/>
        <w:ind w:left="4" w:right="652" w:firstLine="424"/>
        <w:spacing w:before="277" w:line="263" w:lineRule="auto"/>
        <w:jc w:val="both"/>
        <w:rPr/>
      </w:pPr>
      <w:r>
        <w:rPr>
          <w:color w:val="231F20"/>
        </w:rPr>
        <w:t>为了解决数据流动过程中产生的一系列问题，“数据治理”一词逐渐兴起，业界学界</w:t>
      </w:r>
      <w:r>
        <w:rPr>
          <w:color w:val="231F20"/>
          <w:spacing w:val="5"/>
        </w:rPr>
        <w:t xml:space="preserve"> </w:t>
      </w:r>
      <w:r>
        <w:rPr>
          <w:color w:val="231F20"/>
        </w:rPr>
        <w:t>的研究都在如火如荼地开展，本节主要介绍数据治理发展至今的探索研究成果，包括理论</w:t>
      </w:r>
      <w:r>
        <w:rPr>
          <w:color w:val="231F20"/>
          <w:spacing w:val="7"/>
        </w:rPr>
        <w:t xml:space="preserve"> </w:t>
      </w:r>
      <w:r>
        <w:rPr>
          <w:color w:val="231F20"/>
          <w:spacing w:val="-1"/>
        </w:rPr>
        <w:t>发展、内容研究、框架体系、应用实践等，建立对数据治理研究进程的概</w:t>
      </w:r>
      <w:r>
        <w:rPr>
          <w:color w:val="231F20"/>
          <w:spacing w:val="-2"/>
        </w:rPr>
        <w:t>论性了解。</w:t>
      </w:r>
    </w:p>
    <w:p>
      <w:pPr>
        <w:ind w:left="17"/>
        <w:spacing w:before="210" w:line="201" w:lineRule="auto"/>
        <w:rPr>
          <w:sz w:val="23"/>
          <w:szCs w:val="23"/>
        </w:rPr>
      </w:pPr>
      <w:r>
        <w:rPr>
          <w:rFonts w:ascii="Arial" w:hAnsi="Arial" w:eastAsia="Arial" w:cs="Arial"/>
          <w:sz w:val="23"/>
          <w:szCs w:val="23"/>
          <w:u w:val="single" w:color="76787B"/>
          <w:color w:val="231F20"/>
          <w:spacing w:val="-3"/>
        </w:rPr>
        <w:t>1.3.1</w:t>
      </w:r>
      <w:r>
        <w:rPr>
          <w:rFonts w:ascii="Arial" w:hAnsi="Arial" w:eastAsia="Arial" w:cs="Arial"/>
          <w:sz w:val="23"/>
          <w:szCs w:val="23"/>
          <w:u w:val="single" w:color="76787B"/>
          <w:color w:val="231F20"/>
          <w:spacing w:val="18"/>
        </w:rPr>
        <w:t xml:space="preserve">   </w:t>
      </w:r>
      <w:r>
        <w:rPr>
          <w:rFonts w:ascii="Microsoft YaHei" w:hAnsi="Microsoft YaHei" w:eastAsia="Microsoft YaHei" w:cs="Microsoft YaHei"/>
          <w:sz w:val="23"/>
          <w:szCs w:val="23"/>
          <w:u w:val="single" w:color="76787B"/>
          <w:color w:val="231F20"/>
          <w:spacing w:val="-3"/>
        </w:rPr>
        <w:t>数据治理的研究起源</w:t>
      </w:r>
      <w:r>
        <w:rPr>
          <w:rFonts w:ascii="Microsoft YaHei" w:hAnsi="Microsoft YaHei" w:eastAsia="Microsoft YaHei" w:cs="Microsoft YaHei"/>
          <w:sz w:val="23"/>
          <w:szCs w:val="23"/>
          <w:u w:val="single" w:color="76787B"/>
          <w:color w:val="231F20"/>
          <w:spacing w:val="-33"/>
        </w:rPr>
        <w:t xml:space="preserve"> </w:t>
      </w:r>
      <w:r>
        <w:rPr>
          <w:sz w:val="23"/>
          <w:szCs w:val="23"/>
          <w:position w:val="-7"/>
        </w:rPr>
        <w:drawing>
          <wp:inline distT="0" distB="0" distL="0" distR="0">
            <wp:extent cx="70190" cy="187289"/>
            <wp:effectExtent l="0" t="0" r="0" b="0"/>
            <wp:docPr id="160" name="IM 160"/>
            <wp:cNvGraphicFramePr/>
            <a:graphic>
              <a:graphicData uri="http://schemas.openxmlformats.org/drawingml/2006/picture">
                <pic:pic>
                  <pic:nvPicPr>
                    <pic:cNvPr id="160" name="IM 160"/>
                    <pic:cNvPicPr/>
                  </pic:nvPicPr>
                  <pic:blipFill>
                    <a:blip r:embed="rId105"/>
                    <a:stretch>
                      <a:fillRect/>
                    </a:stretch>
                  </pic:blipFill>
                  <pic:spPr>
                    <a:xfrm rot="0">
                      <a:off x="0" y="0"/>
                      <a:ext cx="70190" cy="187289"/>
                    </a:xfrm>
                    <a:prstGeom prst="rect">
                      <a:avLst/>
                    </a:prstGeom>
                  </pic:spPr>
                </pic:pic>
              </a:graphicData>
            </a:graphic>
          </wp:inline>
        </w:drawing>
      </w:r>
    </w:p>
    <w:p>
      <w:pPr>
        <w:pStyle w:val="BodyText"/>
        <w:ind w:right="644" w:firstLine="427"/>
        <w:spacing w:before="179" w:line="269" w:lineRule="auto"/>
        <w:rPr/>
      </w:pPr>
      <w:r>
        <w:rPr>
          <w:color w:val="231F20"/>
          <w:spacing w:val="-1"/>
        </w:rPr>
        <w:t>数据治理的概念最早源于企业，</w:t>
      </w:r>
      <w:r>
        <w:rPr>
          <w:rFonts w:ascii="Times New Roman" w:hAnsi="Times New Roman" w:eastAsia="Times New Roman" w:cs="Times New Roman"/>
          <w:color w:val="231F20"/>
          <w:spacing w:val="-1"/>
        </w:rPr>
        <w:t>2004 </w:t>
      </w:r>
      <w:r>
        <w:rPr>
          <w:color w:val="231F20"/>
          <w:spacing w:val="-1"/>
        </w:rPr>
        <w:t>年，</w:t>
      </w:r>
      <w:r>
        <w:rPr>
          <w:color w:val="231F20"/>
          <w:spacing w:val="-16"/>
        </w:rPr>
        <w:t xml:space="preserve"> </w:t>
      </w:r>
      <w:r>
        <w:rPr>
          <w:rFonts w:ascii="Times New Roman" w:hAnsi="Times New Roman" w:eastAsia="Times New Roman" w:cs="Times New Roman"/>
          <w:color w:val="231F20"/>
          <w:spacing w:val="-1"/>
        </w:rPr>
        <w:t>H.</w:t>
      </w:r>
      <w:r>
        <w:rPr>
          <w:rFonts w:ascii="Times New Roman" w:hAnsi="Times New Roman" w:eastAsia="Times New Roman" w:cs="Times New Roman"/>
          <w:color w:val="231F20"/>
          <w:spacing w:val="16"/>
        </w:rPr>
        <w:t xml:space="preserve"> </w:t>
      </w:r>
      <w:r>
        <w:rPr>
          <w:rFonts w:ascii="Times New Roman" w:hAnsi="Times New Roman" w:eastAsia="Times New Roman" w:cs="Times New Roman"/>
          <w:color w:val="231F20"/>
          <w:spacing w:val="-1"/>
        </w:rPr>
        <w:t>Watson </w:t>
      </w:r>
      <w:r>
        <w:rPr>
          <w:color w:val="231F20"/>
          <w:spacing w:val="-1"/>
        </w:rPr>
        <w:t>探讨了“数据仓库治理”在公司</w:t>
      </w:r>
      <w:r>
        <w:rPr>
          <w:color w:val="231F20"/>
        </w:rPr>
        <w:t xml:space="preserve"> </w:t>
      </w:r>
      <w:r>
        <w:rPr>
          <w:color w:val="231F20"/>
        </w:rPr>
        <w:t>中的实践，此后“数据治理”在企业管理中的研究不断得到关注。随着数据治理研究的深</w:t>
      </w:r>
      <w:r>
        <w:rPr>
          <w:color w:val="231F20"/>
          <w:spacing w:val="9"/>
        </w:rPr>
        <w:t xml:space="preserve"> </w:t>
      </w:r>
      <w:r>
        <w:rPr>
          <w:color w:val="231F20"/>
        </w:rPr>
        <w:t>入，涌现出了一系列代表性的成果，这就是数据治理的研究源起。随着现实中数据治理探</w:t>
      </w:r>
      <w:r>
        <w:rPr>
          <w:color w:val="231F20"/>
          <w:spacing w:val="12"/>
        </w:rPr>
        <w:t xml:space="preserve"> </w:t>
      </w:r>
      <w:r>
        <w:rPr>
          <w:color w:val="231F20"/>
          <w:spacing w:val="-2"/>
        </w:rPr>
        <w:t>索的发展，数据治理的研究过程和方法都发生了显著的变化。</w:t>
      </w:r>
    </w:p>
    <w:p>
      <w:pPr>
        <w:pStyle w:val="BodyText"/>
        <w:ind w:right="644" w:firstLine="429"/>
        <w:spacing w:before="75" w:line="263" w:lineRule="auto"/>
        <w:rPr/>
      </w:pPr>
      <w:r>
        <w:rPr>
          <w:color w:val="231F20"/>
          <w:spacing w:val="5"/>
        </w:rPr>
        <w:t>首先是数据治理的核心概念及其关系研究。数据治理的概念与数据资产管理、</w:t>
      </w:r>
      <w:r>
        <w:rPr>
          <w:rFonts w:ascii="Times New Roman" w:hAnsi="Times New Roman" w:eastAsia="Times New Roman" w:cs="Times New Roman"/>
          <w:color w:val="231F20"/>
        </w:rPr>
        <w:t>IT</w:t>
      </w:r>
      <w:r>
        <w:rPr>
          <w:rFonts w:ascii="Times New Roman" w:hAnsi="Times New Roman" w:eastAsia="Times New Roman" w:cs="Times New Roman"/>
          <w:color w:val="231F20"/>
          <w:spacing w:val="5"/>
        </w:rPr>
        <w:t xml:space="preserve"> </w:t>
      </w:r>
      <w:r>
        <w:rPr>
          <w:color w:val="231F20"/>
          <w:spacing w:val="5"/>
        </w:rPr>
        <w:t>治</w:t>
      </w:r>
      <w:r>
        <w:rPr>
          <w:color w:val="231F20"/>
          <w:spacing w:val="2"/>
        </w:rPr>
        <w:t xml:space="preserve"> </w:t>
      </w:r>
      <w:r>
        <w:rPr>
          <w:color w:val="231F20"/>
        </w:rPr>
        <w:t>理、数据管理等概念都有一定的密切联系，实际上，这也侧面反映了数据治理研究的不同</w:t>
      </w:r>
      <w:r>
        <w:rPr>
          <w:color w:val="231F20"/>
          <w:spacing w:val="2"/>
        </w:rPr>
        <w:t xml:space="preserve"> </w:t>
      </w:r>
      <w:r>
        <w:rPr>
          <w:color w:val="231F20"/>
          <w:spacing w:val="-9"/>
        </w:rPr>
        <w:t>视角。</w:t>
      </w:r>
    </w:p>
    <w:p>
      <w:pPr>
        <w:pStyle w:val="BodyText"/>
        <w:ind w:right="652" w:firstLine="426"/>
        <w:spacing w:before="75" w:line="263" w:lineRule="auto"/>
        <w:rPr/>
      </w:pPr>
      <w:r>
        <w:rPr>
          <w:color w:val="231F20"/>
          <w:spacing w:val="6"/>
        </w:rPr>
        <w:t>数据资产管理的内涵是控制和保护数据，发掘数据资产的潜在价值。在宏观规划视</w:t>
      </w:r>
      <w:r>
        <w:rPr>
          <w:color w:val="231F20"/>
        </w:rPr>
        <w:t xml:space="preserve"> </w:t>
      </w:r>
      <w:r>
        <w:rPr>
          <w:color w:val="231F20"/>
        </w:rPr>
        <w:t>角，进行数据资产管理战略计划的设计、实施、监控。从中观视角看，实际上是对数据资</w:t>
      </w:r>
      <w:r>
        <w:rPr>
          <w:color w:val="231F20"/>
          <w:spacing w:val="2"/>
        </w:rPr>
        <w:t xml:space="preserve"> </w:t>
      </w:r>
      <w:r>
        <w:rPr>
          <w:color w:val="231F20"/>
          <w:spacing w:val="-3"/>
        </w:rPr>
        <w:t>产管理计划的整体活动过程的管理。</w:t>
      </w:r>
    </w:p>
    <w:p>
      <w:pPr>
        <w:pStyle w:val="BodyText"/>
        <w:ind w:left="1" w:right="568" w:firstLine="421"/>
        <w:spacing w:before="74" w:line="252" w:lineRule="auto"/>
        <w:rPr/>
      </w:pPr>
      <w:r>
        <w:rPr>
          <w:rFonts w:ascii="Times New Roman" w:hAnsi="Times New Roman" w:eastAsia="Times New Roman" w:cs="Times New Roman"/>
          <w:color w:val="231F20"/>
        </w:rPr>
        <w:t>IT</w:t>
      </w:r>
      <w:r>
        <w:rPr>
          <w:rFonts w:ascii="Times New Roman" w:hAnsi="Times New Roman" w:eastAsia="Times New Roman" w:cs="Times New Roman"/>
          <w:color w:val="231F20"/>
          <w:spacing w:val="7"/>
        </w:rPr>
        <w:t xml:space="preserve"> </w:t>
      </w:r>
      <w:r>
        <w:rPr>
          <w:color w:val="231F20"/>
          <w:spacing w:val="7"/>
        </w:rPr>
        <w:t>治理的内涵是在公司治理或组织治理中，进行责任构建、战略规划、数据接收、</w:t>
      </w:r>
      <w:r>
        <w:rPr>
          <w:color w:val="231F20"/>
          <w:spacing w:val="12"/>
        </w:rPr>
        <w:t xml:space="preserve"> </w:t>
      </w:r>
      <w:r>
        <w:rPr>
          <w:color w:val="231F20"/>
          <w:spacing w:val="-2"/>
        </w:rPr>
        <w:t>协调管理、组织行为等方面的活动，属于中观视角的数据治理。</w:t>
      </w:r>
    </w:p>
    <w:p>
      <w:pPr>
        <w:pStyle w:val="BodyText"/>
        <w:ind w:right="652" w:firstLine="426"/>
        <w:spacing w:before="75" w:line="263" w:lineRule="auto"/>
        <w:rPr/>
      </w:pPr>
      <w:r>
        <w:rPr>
          <w:color w:val="231F20"/>
          <w:spacing w:val="6"/>
        </w:rPr>
        <w:t>数据管理的内涵是进行数据过程管理和数据质量管理。这是从微观的实施视角去进</w:t>
      </w:r>
      <w:r>
        <w:rPr>
          <w:color w:val="231F20"/>
        </w:rPr>
        <w:t xml:space="preserve"> </w:t>
      </w:r>
      <w:r>
        <w:rPr>
          <w:color w:val="231F20"/>
        </w:rPr>
        <w:t>行数据治理，要求数据具有一致性、可用性、安全性，涉及数据所有权和数</w:t>
      </w:r>
      <w:r>
        <w:rPr>
          <w:color w:val="231F20"/>
          <w:spacing w:val="-1"/>
        </w:rPr>
        <w:t>据管理责任问</w:t>
      </w:r>
      <w:r>
        <w:rPr>
          <w:color w:val="231F20"/>
        </w:rPr>
        <w:t xml:space="preserve"> </w:t>
      </w:r>
      <w:r>
        <w:rPr>
          <w:color w:val="231F20"/>
          <w:spacing w:val="-3"/>
        </w:rPr>
        <w:t>题，属于数据治理的微观实施范畴。</w:t>
      </w:r>
    </w:p>
    <w:p>
      <w:pPr>
        <w:pStyle w:val="BodyText"/>
        <w:ind w:left="427"/>
        <w:spacing w:before="73" w:line="219" w:lineRule="auto"/>
        <w:rPr/>
      </w:pPr>
      <w:r>
        <w:rPr>
          <w:color w:val="231F20"/>
        </w:rPr>
        <w:t>数据治理的内涵是对组织的数据管理和利用进行评估、指导和监督，以及通过不断提</w:t>
      </w:r>
    </w:p>
    <w:p>
      <w:pPr>
        <w:spacing w:line="219" w:lineRule="auto"/>
        <w:sectPr>
          <w:footerReference w:type="default" r:id="rId86"/>
          <w:pgSz w:w="10489" w:h="14741"/>
          <w:pgMar w:top="679" w:right="489" w:bottom="734" w:left="1141" w:header="0" w:footer="551" w:gutter="0"/>
        </w:sectPr>
        <w:rPr/>
      </w:pPr>
    </w:p>
    <w:p>
      <w:pPr>
        <w:spacing w:before="78" w:line="215" w:lineRule="auto"/>
        <w:rPr>
          <w:rFonts w:ascii="Microsoft YaHei" w:hAnsi="Microsoft YaHei" w:eastAsia="Microsoft YaHei" w:cs="Microsoft YaHei"/>
          <w:sz w:val="18"/>
          <w:szCs w:val="18"/>
        </w:rPr>
      </w:pPr>
      <w:r>
        <w:drawing>
          <wp:anchor distT="0" distB="0" distL="0" distR="0" simplePos="0" relativeHeight="251867136" behindDoc="1" locked="0" layoutInCell="1" allowOverlap="1">
            <wp:simplePos x="0" y="0"/>
            <wp:positionH relativeFrom="column">
              <wp:posOffset>108299</wp:posOffset>
            </wp:positionH>
            <wp:positionV relativeFrom="paragraph">
              <wp:posOffset>79371</wp:posOffset>
            </wp:positionV>
            <wp:extent cx="83329" cy="46985"/>
            <wp:effectExtent l="0" t="0" r="0" b="0"/>
            <wp:wrapNone/>
            <wp:docPr id="162" name="IM 162"/>
            <wp:cNvGraphicFramePr/>
            <a:graphic>
              <a:graphicData uri="http://schemas.openxmlformats.org/drawingml/2006/picture">
                <pic:pic>
                  <pic:nvPicPr>
                    <pic:cNvPr id="162" name="IM 162"/>
                    <pic:cNvPicPr/>
                  </pic:nvPicPr>
                  <pic:blipFill>
                    <a:blip r:embed="rId107"/>
                    <a:stretch>
                      <a:fillRect/>
                    </a:stretch>
                  </pic:blipFill>
                  <pic:spPr>
                    <a:xfrm rot="0">
                      <a:off x="0" y="0"/>
                      <a:ext cx="83329" cy="46985"/>
                    </a:xfrm>
                    <a:prstGeom prst="rect">
                      <a:avLst/>
                    </a:prstGeom>
                  </pic:spPr>
                </pic:pic>
              </a:graphicData>
            </a:graphic>
          </wp:anchor>
        </w:drawing>
      </w:r>
      <w:r>
        <w:drawing>
          <wp:anchor distT="0" distB="0" distL="0" distR="0" simplePos="0" relativeHeight="251866112" behindDoc="1" locked="0" layoutInCell="1" allowOverlap="1">
            <wp:simplePos x="0" y="0"/>
            <wp:positionH relativeFrom="column">
              <wp:posOffset>38548</wp:posOffset>
            </wp:positionH>
            <wp:positionV relativeFrom="paragraph">
              <wp:posOffset>120488</wp:posOffset>
            </wp:positionV>
            <wp:extent cx="153080" cy="73048"/>
            <wp:effectExtent l="0" t="0" r="0" b="0"/>
            <wp:wrapNone/>
            <wp:docPr id="164" name="IM 164"/>
            <wp:cNvGraphicFramePr/>
            <a:graphic>
              <a:graphicData uri="http://schemas.openxmlformats.org/drawingml/2006/picture">
                <pic:pic>
                  <pic:nvPicPr>
                    <pic:cNvPr id="164" name="IM 164"/>
                    <pic:cNvPicPr/>
                  </pic:nvPicPr>
                  <pic:blipFill>
                    <a:blip r:embed="rId108"/>
                    <a:stretch>
                      <a:fillRect/>
                    </a:stretch>
                  </pic:blipFill>
                  <pic:spPr>
                    <a:xfrm rot="0">
                      <a:off x="0" y="0"/>
                      <a:ext cx="153080" cy="73048"/>
                    </a:xfrm>
                    <a:prstGeom prst="rect">
                      <a:avLst/>
                    </a:prstGeom>
                  </pic:spPr>
                </pic:pic>
              </a:graphicData>
            </a:graphic>
          </wp:anchor>
        </w:drawing>
      </w:r>
      <w:r>
        <w:rPr>
          <w:rFonts w:ascii="Microsoft YaHei" w:hAnsi="Microsoft YaHei" w:eastAsia="Microsoft YaHei" w:cs="Microsoft YaHei"/>
          <w:sz w:val="18"/>
          <w:szCs w:val="18"/>
          <w:color w:val="D9D9D9"/>
          <w:position w:val="-5"/>
        </w:rPr>
        <w:drawing>
          <wp:inline distT="0" distB="0" distL="0" distR="0">
            <wp:extent cx="369303" cy="250002"/>
            <wp:effectExtent l="0" t="0" r="0" b="0"/>
            <wp:docPr id="166" name="IM 166"/>
            <wp:cNvGraphicFramePr/>
            <a:graphic>
              <a:graphicData uri="http://schemas.openxmlformats.org/drawingml/2006/picture">
                <pic:pic>
                  <pic:nvPicPr>
                    <pic:cNvPr id="166" name="IM 166"/>
                    <pic:cNvPicPr/>
                  </pic:nvPicPr>
                  <pic:blipFill>
                    <a:blip r:embed="rId109"/>
                    <a:stretch>
                      <a:fillRect/>
                    </a:stretch>
                  </pic:blipFill>
                  <pic:spPr>
                    <a:xfrm rot="0">
                      <a:off x="0" y="0"/>
                      <a:ext cx="369303" cy="250002"/>
                    </a:xfrm>
                    <a:prstGeom prst="rect">
                      <a:avLst/>
                    </a:prstGeom>
                  </pic:spPr>
                </pic:pic>
              </a:graphicData>
            </a:graphic>
          </wp:inline>
        </w:drawing>
      </w:r>
      <w:r>
        <w:rPr>
          <w:rFonts w:ascii="Microsoft YaHei" w:hAnsi="Microsoft YaHei" w:eastAsia="Microsoft YaHei" w:cs="Microsoft YaHei"/>
          <w:sz w:val="18"/>
          <w:szCs w:val="18"/>
          <w:color w:val="D9D9D9"/>
          <w:spacing w:val="49"/>
        </w:rPr>
        <w:t xml:space="preserve"> </w:t>
      </w:r>
      <w:r>
        <w:rPr>
          <w:rFonts w:ascii="Microsoft YaHei" w:hAnsi="Microsoft YaHei" w:eastAsia="Microsoft YaHei" w:cs="Microsoft YaHei"/>
          <w:sz w:val="18"/>
          <w:szCs w:val="18"/>
          <w:color w:val="D9D9D9"/>
          <w:spacing w:val="2"/>
        </w:rPr>
        <w:t>数据治理</w:t>
      </w:r>
      <w:r>
        <w:rPr>
          <w:rFonts w:ascii="Microsoft YaHei" w:hAnsi="Microsoft YaHei" w:eastAsia="Microsoft YaHei" w:cs="Microsoft YaHei"/>
          <w:sz w:val="18"/>
          <w:szCs w:val="18"/>
          <w:color w:val="D9D9D9"/>
          <w:spacing w:val="48"/>
          <w:w w:val="101"/>
        </w:rPr>
        <w:t xml:space="preserve"> </w:t>
      </w:r>
      <w:r>
        <w:rPr>
          <w:rFonts w:ascii="Microsoft YaHei" w:hAnsi="Microsoft YaHei" w:eastAsia="Microsoft YaHei" w:cs="Microsoft YaHei"/>
          <w:sz w:val="18"/>
          <w:szCs w:val="18"/>
          <w:color w:val="4B4C4D"/>
          <w:spacing w:val="2"/>
        </w:rPr>
        <w:t>理论、方法与实践</w:t>
      </w:r>
    </w:p>
    <w:p>
      <w:pPr>
        <w:spacing w:line="335" w:lineRule="auto"/>
        <w:rPr>
          <w:rFonts w:ascii="Arial"/>
          <w:sz w:val="21"/>
        </w:rPr>
      </w:pPr>
      <w:r/>
    </w:p>
    <w:p>
      <w:pPr>
        <w:pStyle w:val="BodyText"/>
        <w:ind w:left="577"/>
        <w:spacing w:before="68" w:line="219" w:lineRule="auto"/>
        <w:rPr/>
      </w:pPr>
      <w:r>
        <w:rPr>
          <w:color w:val="231F20"/>
          <w:spacing w:val="-2"/>
        </w:rPr>
        <w:t>供创新的数据服务的方式，为组织创造价值。</w:t>
      </w:r>
    </w:p>
    <w:p>
      <w:pPr>
        <w:pStyle w:val="BodyText"/>
        <w:ind w:left="577" w:firstLine="427"/>
        <w:spacing w:before="73" w:line="279" w:lineRule="auto"/>
        <w:jc w:val="both"/>
        <w:rPr/>
      </w:pPr>
      <w:r>
        <w:rPr>
          <w:color w:val="231F20"/>
          <w:spacing w:val="6"/>
        </w:rPr>
        <w:t>数据治理与数据管理是不同的活动。数据治理负责对管理活动进行指导、监督与评</w:t>
      </w:r>
      <w:r>
        <w:rPr>
          <w:color w:val="231F20"/>
        </w:rPr>
        <w:t xml:space="preserve"> </w:t>
      </w:r>
      <w:r>
        <w:rPr>
          <w:color w:val="231F20"/>
        </w:rPr>
        <w:t>估，而数据管理则是根据所作出的决策来具体计划、建设和运营。正如习近平总书记所指</w:t>
      </w:r>
      <w:r>
        <w:rPr>
          <w:color w:val="231F20"/>
          <w:spacing w:val="7"/>
        </w:rPr>
        <w:t xml:space="preserve"> </w:t>
      </w:r>
      <w:r>
        <w:rPr>
          <w:color w:val="231F20"/>
        </w:rPr>
        <w:t>出的“治理和管理一字之差，体现的是系统治理、依法治理、源头治理、综合施策”。数</w:t>
      </w:r>
      <w:r>
        <w:rPr>
          <w:color w:val="231F20"/>
          <w:spacing w:val="11"/>
        </w:rPr>
        <w:t xml:space="preserve"> </w:t>
      </w:r>
      <w:r>
        <w:rPr>
          <w:color w:val="231F20"/>
        </w:rPr>
        <w:t>据治理是联合行动的过程，强调协调而不是控制，本意是通过服务来达到管理的目的。数</w:t>
      </w:r>
      <w:r>
        <w:rPr>
          <w:color w:val="231F20"/>
          <w:spacing w:val="12"/>
        </w:rPr>
        <w:t xml:space="preserve"> </w:t>
      </w:r>
      <w:r>
        <w:rPr>
          <w:color w:val="231F20"/>
          <w:spacing w:val="1"/>
        </w:rPr>
        <w:t>据治理更多的是面对战略层面、组织层面、制</w:t>
      </w:r>
      <w:r>
        <w:rPr>
          <w:color w:val="231F20"/>
        </w:rPr>
        <w:t>度层面的事务，确立“什么样的决策需要在 </w:t>
      </w:r>
      <w:r>
        <w:rPr>
          <w:color w:val="231F20"/>
        </w:rPr>
        <w:t>什么层级制定”。数据管理是操作和实施层面的概念，是通过一系列实际落地的办法去实</w:t>
      </w:r>
      <w:r>
        <w:rPr>
          <w:color w:val="231F20"/>
          <w:spacing w:val="18"/>
        </w:rPr>
        <w:t xml:space="preserve"> </w:t>
      </w:r>
      <w:r>
        <w:rPr>
          <w:color w:val="231F20"/>
        </w:rPr>
        <w:t>现“治理”目标的具体过程。数据管理是通过建立组织结构和工作机制，落实谁牵头、谁</w:t>
      </w:r>
      <w:r>
        <w:rPr>
          <w:color w:val="231F20"/>
          <w:spacing w:val="11"/>
        </w:rPr>
        <w:t xml:space="preserve"> </w:t>
      </w:r>
      <w:r>
        <w:rPr>
          <w:color w:val="231F20"/>
        </w:rPr>
        <w:t>配合、谁主责、谁落实，在各自的职能领域去完成具体任务，包括企业级层面的数据标准</w:t>
      </w:r>
      <w:r>
        <w:rPr>
          <w:color w:val="231F20"/>
          <w:spacing w:val="10"/>
        </w:rPr>
        <w:t xml:space="preserve"> </w:t>
      </w:r>
      <w:r>
        <w:rPr>
          <w:color w:val="231F20"/>
        </w:rPr>
        <w:t>化、数据资产管理，业务领域层面的数据规范化、数据质量改进等。数据管理所涉及的领</w:t>
      </w:r>
      <w:r>
        <w:rPr>
          <w:color w:val="231F20"/>
          <w:spacing w:val="12"/>
        </w:rPr>
        <w:t xml:space="preserve"> </w:t>
      </w:r>
      <w:r>
        <w:rPr>
          <w:color w:val="231F20"/>
          <w:spacing w:val="1"/>
        </w:rPr>
        <w:t>域范围相对数据治理来说更加细节化和行动化，数</w:t>
      </w:r>
      <w:r>
        <w:rPr>
          <w:color w:val="231F20"/>
        </w:rPr>
        <w:t>据治理则更意味着为实现数据价值的一 </w:t>
      </w:r>
      <w:r>
        <w:rPr>
          <w:color w:val="231F20"/>
          <w:spacing w:val="-2"/>
        </w:rPr>
        <w:t>系列制度安排和举措。数据治理核心概念的辨析如表</w:t>
      </w:r>
      <w:r>
        <w:rPr>
          <w:color w:val="231F20"/>
          <w:spacing w:val="-18"/>
        </w:rPr>
        <w:t xml:space="preserve"> </w:t>
      </w:r>
      <w:r>
        <w:rPr>
          <w:rFonts w:ascii="Times New Roman" w:hAnsi="Times New Roman" w:eastAsia="Times New Roman" w:cs="Times New Roman"/>
          <w:color w:val="231F20"/>
          <w:spacing w:val="-2"/>
        </w:rPr>
        <w:t>1.2 </w:t>
      </w:r>
      <w:r>
        <w:rPr>
          <w:color w:val="231F20"/>
          <w:spacing w:val="-2"/>
        </w:rPr>
        <w:t>所示。</w:t>
      </w:r>
    </w:p>
    <w:p>
      <w:pPr>
        <w:ind w:left="3368"/>
        <w:spacing w:before="180" w:line="241" w:lineRule="auto"/>
        <w:rPr>
          <w:rFonts w:ascii="SimHei" w:hAnsi="SimHei" w:eastAsia="SimHei" w:cs="SimHei"/>
          <w:sz w:val="18"/>
          <w:szCs w:val="18"/>
        </w:rPr>
      </w:pPr>
      <w:r>
        <w:rPr>
          <w:rFonts w:ascii="SimHei" w:hAnsi="SimHei" w:eastAsia="SimHei" w:cs="SimHei"/>
          <w:sz w:val="18"/>
          <w:szCs w:val="18"/>
          <w:color w:val="231F20"/>
          <w:spacing w:val="-3"/>
        </w:rPr>
        <w:t>表</w:t>
      </w:r>
      <w:r>
        <w:rPr>
          <w:rFonts w:ascii="SimHei" w:hAnsi="SimHei" w:eastAsia="SimHei" w:cs="SimHei"/>
          <w:sz w:val="18"/>
          <w:szCs w:val="18"/>
          <w:color w:val="231F20"/>
          <w:spacing w:val="-12"/>
        </w:rPr>
        <w:t xml:space="preserve"> </w:t>
      </w:r>
      <w:r>
        <w:rPr>
          <w:rFonts w:ascii="Arial" w:hAnsi="Arial" w:eastAsia="Arial" w:cs="Arial"/>
          <w:sz w:val="18"/>
          <w:szCs w:val="18"/>
          <w:color w:val="231F20"/>
          <w:spacing w:val="-3"/>
        </w:rPr>
        <w:t>1.2</w:t>
      </w:r>
      <w:r>
        <w:rPr>
          <w:rFonts w:ascii="Arial" w:hAnsi="Arial" w:eastAsia="Arial" w:cs="Arial"/>
          <w:sz w:val="18"/>
          <w:szCs w:val="18"/>
          <w:color w:val="231F20"/>
          <w:spacing w:val="11"/>
        </w:rPr>
        <w:t xml:space="preserve">   </w:t>
      </w:r>
      <w:r>
        <w:rPr>
          <w:rFonts w:ascii="SimHei" w:hAnsi="SimHei" w:eastAsia="SimHei" w:cs="SimHei"/>
          <w:sz w:val="18"/>
          <w:szCs w:val="18"/>
          <w:color w:val="231F20"/>
          <w:spacing w:val="-3"/>
        </w:rPr>
        <w:t>数据治理核心概念的辨析</w:t>
      </w:r>
    </w:p>
    <w:p>
      <w:pPr>
        <w:spacing w:line="122" w:lineRule="exact"/>
        <w:rPr/>
      </w:pPr>
      <w:r/>
    </w:p>
    <w:tbl>
      <w:tblPr>
        <w:tblStyle w:val="TableNormal"/>
        <w:tblW w:w="8205" w:type="dxa"/>
        <w:tblInd w:w="577" w:type="dxa"/>
        <w:tblLayout w:type="fixed"/>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
      <w:tblGrid>
        <w:gridCol w:w="1207"/>
        <w:gridCol w:w="917"/>
        <w:gridCol w:w="3057"/>
        <w:gridCol w:w="3024"/>
      </w:tblGrid>
      <w:tr>
        <w:trPr>
          <w:trHeight w:val="286" w:hRule="atLeast"/>
        </w:trPr>
        <w:tc>
          <w:tcPr>
            <w:tcW w:w="1207" w:type="dxa"/>
            <w:vAlign w:val="top"/>
            <w:tcBorders>
              <w:left w:val="single" w:color="231F20" w:sz="6" w:space="0"/>
              <w:top w:val="single" w:color="231F20" w:sz="6" w:space="0"/>
            </w:tcBorders>
          </w:tcPr>
          <w:p>
            <w:pPr>
              <w:ind w:left="239"/>
              <w:spacing w:before="42" w:line="239" w:lineRule="auto"/>
              <w:rPr>
                <w:rFonts w:ascii="SimHei" w:hAnsi="SimHei" w:eastAsia="SimHei" w:cs="SimHei"/>
                <w:sz w:val="18"/>
                <w:szCs w:val="18"/>
              </w:rPr>
            </w:pPr>
            <w:r>
              <w:rPr>
                <w:rFonts w:ascii="SimHei" w:hAnsi="SimHei" w:eastAsia="SimHei" w:cs="SimHei"/>
                <w:sz w:val="18"/>
                <w:szCs w:val="18"/>
                <w:color w:val="231F20"/>
                <w:spacing w:val="-2"/>
              </w:rPr>
              <w:t>核心概念</w:t>
            </w:r>
          </w:p>
        </w:tc>
        <w:tc>
          <w:tcPr>
            <w:tcW w:w="917" w:type="dxa"/>
            <w:vAlign w:val="top"/>
            <w:tcBorders>
              <w:top w:val="single" w:color="231F20" w:sz="6" w:space="0"/>
            </w:tcBorders>
          </w:tcPr>
          <w:p>
            <w:pPr>
              <w:ind w:left="97"/>
              <w:spacing w:before="42" w:line="239" w:lineRule="auto"/>
              <w:rPr>
                <w:rFonts w:ascii="SimHei" w:hAnsi="SimHei" w:eastAsia="SimHei" w:cs="SimHei"/>
                <w:sz w:val="18"/>
                <w:szCs w:val="18"/>
              </w:rPr>
            </w:pPr>
            <w:r>
              <w:rPr>
                <w:rFonts w:ascii="SimHei" w:hAnsi="SimHei" w:eastAsia="SimHei" w:cs="SimHei"/>
                <w:sz w:val="18"/>
                <w:szCs w:val="18"/>
                <w:color w:val="231F20"/>
                <w:spacing w:val="-2"/>
              </w:rPr>
              <w:t>发布时间</w:t>
            </w:r>
          </w:p>
        </w:tc>
        <w:tc>
          <w:tcPr>
            <w:tcW w:w="3057" w:type="dxa"/>
            <w:vAlign w:val="top"/>
            <w:tcBorders>
              <w:top w:val="single" w:color="231F20" w:sz="6" w:space="0"/>
            </w:tcBorders>
          </w:tcPr>
          <w:p>
            <w:pPr>
              <w:ind w:left="1377"/>
              <w:spacing w:before="42" w:line="239" w:lineRule="auto"/>
              <w:rPr>
                <w:rFonts w:ascii="SimHei" w:hAnsi="SimHei" w:eastAsia="SimHei" w:cs="SimHei"/>
                <w:sz w:val="18"/>
                <w:szCs w:val="18"/>
              </w:rPr>
            </w:pPr>
            <w:r>
              <w:rPr>
                <w:rFonts w:ascii="SimHei" w:hAnsi="SimHei" w:eastAsia="SimHei" w:cs="SimHei"/>
                <w:sz w:val="18"/>
                <w:szCs w:val="18"/>
                <w:color w:val="231F20"/>
                <w:spacing w:val="-8"/>
              </w:rPr>
              <w:t>目标</w:t>
            </w:r>
          </w:p>
        </w:tc>
        <w:tc>
          <w:tcPr>
            <w:tcW w:w="3024" w:type="dxa"/>
            <w:vAlign w:val="top"/>
            <w:tcBorders>
              <w:right w:val="single" w:color="231F20" w:sz="6" w:space="0"/>
              <w:top w:val="single" w:color="231F20" w:sz="6" w:space="0"/>
            </w:tcBorders>
          </w:tcPr>
          <w:p>
            <w:pPr>
              <w:ind w:left="1336"/>
              <w:spacing w:before="42" w:line="239" w:lineRule="auto"/>
              <w:rPr>
                <w:rFonts w:ascii="SimHei" w:hAnsi="SimHei" w:eastAsia="SimHei" w:cs="SimHei"/>
                <w:sz w:val="18"/>
                <w:szCs w:val="18"/>
              </w:rPr>
            </w:pPr>
            <w:r>
              <w:rPr>
                <w:rFonts w:ascii="SimHei" w:hAnsi="SimHei" w:eastAsia="SimHei" w:cs="SimHei"/>
                <w:sz w:val="18"/>
                <w:szCs w:val="18"/>
                <w:color w:val="231F20"/>
                <w:spacing w:val="-2"/>
              </w:rPr>
              <w:t>来源</w:t>
            </w:r>
          </w:p>
        </w:tc>
      </w:tr>
      <w:tr>
        <w:trPr>
          <w:trHeight w:val="805" w:hRule="atLeast"/>
        </w:trPr>
        <w:tc>
          <w:tcPr>
            <w:tcW w:w="1207" w:type="dxa"/>
            <w:vAlign w:val="top"/>
            <w:tcBorders>
              <w:left w:val="single" w:color="231F20" w:sz="6" w:space="0"/>
            </w:tcBorders>
          </w:tcPr>
          <w:p>
            <w:pPr>
              <w:spacing w:line="252" w:lineRule="auto"/>
              <w:rPr>
                <w:rFonts w:ascii="Arial"/>
                <w:sz w:val="21"/>
              </w:rPr>
            </w:pPr>
            <w:r/>
          </w:p>
          <w:p>
            <w:pPr>
              <w:pStyle w:val="TableText"/>
              <w:ind w:left="62"/>
              <w:spacing w:before="59" w:line="220" w:lineRule="auto"/>
              <w:rPr/>
            </w:pPr>
            <w:r>
              <w:rPr>
                <w:color w:val="231F20"/>
                <w:spacing w:val="-2"/>
              </w:rPr>
              <w:t>数据资产管理</w:t>
            </w:r>
          </w:p>
        </w:tc>
        <w:tc>
          <w:tcPr>
            <w:tcW w:w="917" w:type="dxa"/>
            <w:vAlign w:val="top"/>
          </w:tcPr>
          <w:p>
            <w:pPr>
              <w:spacing w:line="252" w:lineRule="auto"/>
              <w:rPr>
                <w:rFonts w:ascii="Arial"/>
                <w:sz w:val="21"/>
              </w:rPr>
            </w:pPr>
            <w:r/>
          </w:p>
          <w:p>
            <w:pPr>
              <w:pStyle w:val="TableText"/>
              <w:ind w:left="163"/>
              <w:spacing w:before="59" w:line="220" w:lineRule="auto"/>
              <w:rPr/>
            </w:pPr>
            <w:r>
              <w:rPr>
                <w:rFonts w:ascii="Times New Roman" w:hAnsi="Times New Roman" w:eastAsia="Times New Roman" w:cs="Times New Roman"/>
                <w:color w:val="231F20"/>
                <w:spacing w:val="-1"/>
              </w:rPr>
              <w:t>2014</w:t>
            </w:r>
            <w:r>
              <w:rPr>
                <w:rFonts w:ascii="Times New Roman" w:hAnsi="Times New Roman" w:eastAsia="Times New Roman" w:cs="Times New Roman"/>
                <w:color w:val="231F20"/>
                <w:spacing w:val="7"/>
              </w:rPr>
              <w:t xml:space="preserve"> </w:t>
            </w:r>
            <w:r>
              <w:rPr>
                <w:color w:val="231F20"/>
                <w:spacing w:val="-1"/>
              </w:rPr>
              <w:t>年</w:t>
            </w:r>
          </w:p>
        </w:tc>
        <w:tc>
          <w:tcPr>
            <w:tcW w:w="3057" w:type="dxa"/>
            <w:vAlign w:val="top"/>
          </w:tcPr>
          <w:p>
            <w:pPr>
              <w:pStyle w:val="TableText"/>
              <w:ind w:left="57"/>
              <w:spacing w:before="52" w:line="218" w:lineRule="auto"/>
              <w:rPr/>
            </w:pPr>
            <w:r>
              <w:rPr>
                <w:color w:val="231F20"/>
                <w:spacing w:val="-1"/>
              </w:rPr>
              <w:t>①组织数据资产审计、登记</w:t>
            </w:r>
          </w:p>
          <w:p>
            <w:pPr>
              <w:pStyle w:val="TableText"/>
              <w:ind w:left="56" w:right="64"/>
              <w:spacing w:before="46" w:line="243" w:lineRule="auto"/>
              <w:rPr/>
            </w:pPr>
            <w:r>
              <w:rPr>
                <w:color w:val="231F20"/>
                <w:spacing w:val="3"/>
              </w:rPr>
              <w:t>②控制并保护数据，发掘数字资产的</w:t>
            </w:r>
            <w:r>
              <w:rPr>
                <w:color w:val="231F20"/>
                <w:spacing w:val="1"/>
              </w:rPr>
              <w:t xml:space="preserve"> </w:t>
            </w:r>
            <w:r>
              <w:rPr>
                <w:color w:val="231F20"/>
                <w:spacing w:val="-1"/>
              </w:rPr>
              <w:t>潜在价值，提高数据利用效率</w:t>
            </w:r>
          </w:p>
        </w:tc>
        <w:tc>
          <w:tcPr>
            <w:tcW w:w="3024" w:type="dxa"/>
            <w:vAlign w:val="top"/>
            <w:tcBorders>
              <w:right w:val="single" w:color="231F20" w:sz="6" w:space="0"/>
            </w:tcBorders>
          </w:tcPr>
          <w:p>
            <w:pPr>
              <w:pStyle w:val="TableText"/>
              <w:ind w:left="90" w:right="49" w:hanging="90"/>
              <w:spacing w:before="181" w:line="250" w:lineRule="auto"/>
              <w:rPr/>
            </w:pPr>
            <w:r>
              <w:rPr>
                <w:color w:val="231F20"/>
                <w:spacing w:val="-7"/>
              </w:rPr>
              <w:t>《资产管理 综述、原则和术语》（</w:t>
            </w:r>
            <w:r>
              <w:rPr>
                <w:rFonts w:ascii="Times New Roman" w:hAnsi="Times New Roman" w:eastAsia="Times New Roman" w:cs="Times New Roman"/>
                <w:color w:val="231F20"/>
                <w:spacing w:val="-7"/>
              </w:rPr>
              <w:t>ISO</w:t>
            </w:r>
            <w:r>
              <w:rPr>
                <w:rFonts w:ascii="Times New Roman" w:hAnsi="Times New Roman" w:eastAsia="Times New Roman" w:cs="Times New Roman"/>
                <w:color w:val="231F20"/>
                <w:spacing w:val="16"/>
              </w:rPr>
              <w:t xml:space="preserve"> </w:t>
            </w:r>
            <w:r>
              <w:rPr>
                <w:rFonts w:ascii="Times New Roman" w:hAnsi="Times New Roman" w:eastAsia="Times New Roman" w:cs="Times New Roman"/>
                <w:color w:val="231F20"/>
                <w:spacing w:val="-2"/>
              </w:rPr>
              <w:t>55000:2014</w:t>
            </w:r>
            <w:r>
              <w:rPr>
                <w:color w:val="231F20"/>
                <w:spacing w:val="-2"/>
              </w:rPr>
              <w:t>）</w:t>
            </w:r>
          </w:p>
        </w:tc>
      </w:tr>
      <w:tr>
        <w:trPr>
          <w:trHeight w:val="805" w:hRule="atLeast"/>
        </w:trPr>
        <w:tc>
          <w:tcPr>
            <w:tcW w:w="1207" w:type="dxa"/>
            <w:vAlign w:val="top"/>
            <w:tcBorders>
              <w:left w:val="single" w:color="231F20" w:sz="6" w:space="0"/>
            </w:tcBorders>
          </w:tcPr>
          <w:p>
            <w:pPr>
              <w:spacing w:line="256" w:lineRule="auto"/>
              <w:rPr>
                <w:rFonts w:ascii="Arial"/>
                <w:sz w:val="21"/>
              </w:rPr>
            </w:pPr>
            <w:r/>
          </w:p>
          <w:p>
            <w:pPr>
              <w:pStyle w:val="TableText"/>
              <w:ind w:left="311"/>
              <w:spacing w:before="58" w:line="225" w:lineRule="auto"/>
              <w:rPr/>
            </w:pPr>
            <w:r>
              <w:rPr>
                <w:rFonts w:ascii="Times New Roman" w:hAnsi="Times New Roman" w:eastAsia="Times New Roman" w:cs="Times New Roman"/>
                <w:color w:val="231F20"/>
                <w:spacing w:val="-3"/>
              </w:rPr>
              <w:t>IT</w:t>
            </w:r>
            <w:r>
              <w:rPr>
                <w:rFonts w:ascii="Times New Roman" w:hAnsi="Times New Roman" w:eastAsia="Times New Roman" w:cs="Times New Roman"/>
                <w:color w:val="231F20"/>
                <w:spacing w:val="12"/>
              </w:rPr>
              <w:t xml:space="preserve"> </w:t>
            </w:r>
            <w:r>
              <w:rPr>
                <w:color w:val="231F20"/>
                <w:spacing w:val="-3"/>
              </w:rPr>
              <w:t>治理</w:t>
            </w:r>
          </w:p>
        </w:tc>
        <w:tc>
          <w:tcPr>
            <w:tcW w:w="917" w:type="dxa"/>
            <w:vAlign w:val="top"/>
          </w:tcPr>
          <w:p>
            <w:pPr>
              <w:spacing w:line="256" w:lineRule="auto"/>
              <w:rPr>
                <w:rFonts w:ascii="Arial"/>
                <w:sz w:val="21"/>
              </w:rPr>
            </w:pPr>
            <w:r/>
          </w:p>
          <w:p>
            <w:pPr>
              <w:pStyle w:val="TableText"/>
              <w:ind w:left="163"/>
              <w:spacing w:before="58" w:line="220" w:lineRule="auto"/>
              <w:rPr/>
            </w:pPr>
            <w:r>
              <w:rPr>
                <w:rFonts w:ascii="Times New Roman" w:hAnsi="Times New Roman" w:eastAsia="Times New Roman" w:cs="Times New Roman"/>
                <w:color w:val="231F20"/>
                <w:spacing w:val="-1"/>
              </w:rPr>
              <w:t>2015</w:t>
            </w:r>
            <w:r>
              <w:rPr>
                <w:rFonts w:ascii="Times New Roman" w:hAnsi="Times New Roman" w:eastAsia="Times New Roman" w:cs="Times New Roman"/>
                <w:color w:val="231F20"/>
                <w:spacing w:val="7"/>
              </w:rPr>
              <w:t xml:space="preserve"> </w:t>
            </w:r>
            <w:r>
              <w:rPr>
                <w:color w:val="231F20"/>
                <w:spacing w:val="-1"/>
              </w:rPr>
              <w:t>年</w:t>
            </w:r>
          </w:p>
        </w:tc>
        <w:tc>
          <w:tcPr>
            <w:tcW w:w="3057" w:type="dxa"/>
            <w:vAlign w:val="top"/>
          </w:tcPr>
          <w:p>
            <w:pPr>
              <w:pStyle w:val="TableText"/>
              <w:ind w:left="57"/>
              <w:spacing w:before="56" w:line="218" w:lineRule="auto"/>
              <w:rPr/>
            </w:pPr>
            <w:r>
              <w:rPr>
                <w:color w:val="231F20"/>
                <w:spacing w:val="-1"/>
              </w:rPr>
              <w:t>①公司治理和广义的组织治理</w:t>
            </w:r>
          </w:p>
          <w:p>
            <w:pPr>
              <w:pStyle w:val="TableText"/>
              <w:ind w:left="60" w:hanging="4"/>
              <w:spacing w:before="48" w:line="243" w:lineRule="auto"/>
              <w:rPr/>
            </w:pPr>
            <w:r>
              <w:rPr>
                <w:color w:val="231F20"/>
                <w:spacing w:val="7"/>
              </w:rPr>
              <w:t>②责任构建、战略规划、数据接收、</w:t>
            </w:r>
            <w:r>
              <w:rPr>
                <w:color w:val="231F20"/>
                <w:spacing w:val="2"/>
              </w:rPr>
              <w:t xml:space="preserve"> </w:t>
            </w:r>
            <w:r>
              <w:rPr>
                <w:color w:val="231F20"/>
                <w:spacing w:val="-2"/>
              </w:rPr>
              <w:t>绩效管理、协同管理、组织行为</w:t>
            </w:r>
          </w:p>
        </w:tc>
        <w:tc>
          <w:tcPr>
            <w:tcW w:w="3024" w:type="dxa"/>
            <w:vAlign w:val="top"/>
            <w:tcBorders>
              <w:right w:val="single" w:color="231F20" w:sz="6" w:space="0"/>
            </w:tcBorders>
          </w:tcPr>
          <w:p>
            <w:pPr>
              <w:pStyle w:val="TableText"/>
              <w:ind w:left="88" w:right="49" w:hanging="88"/>
              <w:spacing w:before="185" w:line="250" w:lineRule="auto"/>
              <w:rPr/>
            </w:pPr>
            <w:r>
              <w:rPr>
                <w:color w:val="231F20"/>
              </w:rPr>
              <w:t>《信息技术 组合</w:t>
            </w:r>
            <w:r>
              <w:rPr>
                <w:color w:val="231F20"/>
                <w:spacing w:val="-41"/>
              </w:rPr>
              <w:t xml:space="preserve"> </w:t>
            </w:r>
            <w:r>
              <w:rPr>
                <w:rFonts w:ascii="Times New Roman" w:hAnsi="Times New Roman" w:eastAsia="Times New Roman" w:cs="Times New Roman"/>
                <w:color w:val="231F20"/>
              </w:rPr>
              <w:t>IT </w:t>
            </w:r>
            <w:r>
              <w:rPr>
                <w:color w:val="231F20"/>
              </w:rPr>
              <w:t>治理》（</w:t>
            </w:r>
            <w:r>
              <w:rPr>
                <w:rFonts w:ascii="Times New Roman" w:hAnsi="Times New Roman" w:eastAsia="Times New Roman" w:cs="Times New Roman"/>
                <w:color w:val="231F20"/>
              </w:rPr>
              <w:t>ISO/IEC </w:t>
            </w:r>
            <w:r>
              <w:rPr>
                <w:rFonts w:ascii="Times New Roman" w:hAnsi="Times New Roman" w:eastAsia="Times New Roman" w:cs="Times New Roman"/>
                <w:color w:val="231F20"/>
                <w:spacing w:val="-2"/>
              </w:rPr>
              <w:t>38500:2015</w:t>
            </w:r>
            <w:r>
              <w:rPr>
                <w:color w:val="231F20"/>
                <w:spacing w:val="-2"/>
              </w:rPr>
              <w:t>）</w:t>
            </w:r>
          </w:p>
        </w:tc>
      </w:tr>
      <w:tr>
        <w:trPr>
          <w:trHeight w:val="805" w:hRule="atLeast"/>
        </w:trPr>
        <w:tc>
          <w:tcPr>
            <w:tcW w:w="1207" w:type="dxa"/>
            <w:vAlign w:val="top"/>
            <w:tcBorders>
              <w:left w:val="single" w:color="231F20" w:sz="6" w:space="0"/>
            </w:tcBorders>
          </w:tcPr>
          <w:p>
            <w:pPr>
              <w:spacing w:line="259" w:lineRule="auto"/>
              <w:rPr>
                <w:rFonts w:ascii="Arial"/>
                <w:sz w:val="21"/>
              </w:rPr>
            </w:pPr>
            <w:r/>
          </w:p>
          <w:p>
            <w:pPr>
              <w:pStyle w:val="TableText"/>
              <w:ind w:left="242"/>
              <w:spacing w:before="59" w:line="220" w:lineRule="auto"/>
              <w:rPr/>
            </w:pPr>
            <w:r>
              <w:rPr>
                <w:color w:val="231F20"/>
                <w:spacing w:val="-2"/>
              </w:rPr>
              <w:t>数据管理</w:t>
            </w:r>
          </w:p>
        </w:tc>
        <w:tc>
          <w:tcPr>
            <w:tcW w:w="917" w:type="dxa"/>
            <w:vAlign w:val="top"/>
          </w:tcPr>
          <w:p>
            <w:pPr>
              <w:spacing w:line="259" w:lineRule="auto"/>
              <w:rPr>
                <w:rFonts w:ascii="Arial"/>
                <w:sz w:val="21"/>
              </w:rPr>
            </w:pPr>
            <w:r/>
          </w:p>
          <w:p>
            <w:pPr>
              <w:pStyle w:val="TableText"/>
              <w:ind w:left="163"/>
              <w:spacing w:before="59" w:line="220" w:lineRule="auto"/>
              <w:rPr/>
            </w:pPr>
            <w:r>
              <w:rPr>
                <w:rFonts w:ascii="Times New Roman" w:hAnsi="Times New Roman" w:eastAsia="Times New Roman" w:cs="Times New Roman"/>
                <w:color w:val="231F20"/>
                <w:spacing w:val="-1"/>
              </w:rPr>
              <w:t>2019</w:t>
            </w:r>
            <w:r>
              <w:rPr>
                <w:rFonts w:ascii="Times New Roman" w:hAnsi="Times New Roman" w:eastAsia="Times New Roman" w:cs="Times New Roman"/>
                <w:color w:val="231F20"/>
                <w:spacing w:val="7"/>
              </w:rPr>
              <w:t xml:space="preserve"> </w:t>
            </w:r>
            <w:r>
              <w:rPr>
                <w:color w:val="231F20"/>
                <w:spacing w:val="-1"/>
              </w:rPr>
              <w:t>年</w:t>
            </w:r>
          </w:p>
        </w:tc>
        <w:tc>
          <w:tcPr>
            <w:tcW w:w="3057" w:type="dxa"/>
            <w:vAlign w:val="top"/>
          </w:tcPr>
          <w:p>
            <w:pPr>
              <w:pStyle w:val="TableText"/>
              <w:ind w:left="57"/>
              <w:spacing w:before="189" w:line="260" w:lineRule="exact"/>
              <w:rPr/>
            </w:pPr>
            <w:r>
              <w:rPr>
                <w:color w:val="231F20"/>
                <w:spacing w:val="-1"/>
                <w:position w:val="5"/>
              </w:rPr>
              <w:t>①数据过程管理</w:t>
            </w:r>
          </w:p>
          <w:p>
            <w:pPr>
              <w:pStyle w:val="TableText"/>
              <w:ind w:left="56"/>
              <w:spacing w:line="218" w:lineRule="auto"/>
              <w:rPr/>
            </w:pPr>
            <w:r>
              <w:rPr>
                <w:color w:val="231F20"/>
                <w:spacing w:val="-1"/>
              </w:rPr>
              <w:t>②数据质量管理</w:t>
            </w:r>
          </w:p>
        </w:tc>
        <w:tc>
          <w:tcPr>
            <w:tcW w:w="3024" w:type="dxa"/>
            <w:vAlign w:val="top"/>
            <w:tcBorders>
              <w:right w:val="single" w:color="231F20" w:sz="6" w:space="0"/>
            </w:tcBorders>
          </w:tcPr>
          <w:p>
            <w:pPr>
              <w:pStyle w:val="TableText"/>
              <w:ind w:left="86" w:right="49" w:hanging="86"/>
              <w:spacing w:before="60" w:line="251" w:lineRule="auto"/>
              <w:jc w:val="both"/>
              <w:rPr/>
            </w:pPr>
            <w:r>
              <w:rPr>
                <w:color w:val="231F20"/>
                <w:spacing w:val="7"/>
              </w:rPr>
              <w:t>《技术规范</w:t>
            </w:r>
            <w:r>
              <w:rPr>
                <w:color w:val="231F20"/>
                <w:spacing w:val="-22"/>
              </w:rPr>
              <w:t xml:space="preserve"> </w:t>
            </w:r>
            <w:r>
              <w:rPr>
                <w:rFonts w:ascii="Times New Roman" w:hAnsi="Times New Roman" w:eastAsia="Times New Roman" w:cs="Times New Roman"/>
                <w:color w:val="231F20"/>
                <w:spacing w:val="7"/>
              </w:rPr>
              <w:t>D2.1</w:t>
            </w:r>
            <w:r>
              <w:rPr>
                <w:rFonts w:ascii="Times New Roman" w:hAnsi="Times New Roman" w:eastAsia="Times New Roman" w:cs="Times New Roman"/>
                <w:color w:val="231F20"/>
                <w:spacing w:val="36"/>
                <w:w w:val="101"/>
              </w:rPr>
              <w:t xml:space="preserve"> </w:t>
            </w:r>
            <w:r>
              <w:rPr>
                <w:color w:val="231F20"/>
                <w:spacing w:val="7"/>
              </w:rPr>
              <w:t>物联网和智慧城市</w:t>
            </w:r>
            <w:r>
              <w:rPr>
                <w:color w:val="231F20"/>
              </w:rPr>
              <w:t xml:space="preserve"> </w:t>
            </w:r>
            <w:r>
              <w:rPr>
                <w:color w:val="231F20"/>
                <w:spacing w:val="-1"/>
              </w:rPr>
              <w:t>及社区数据处理和管理框架》（</w:t>
            </w:r>
            <w:r>
              <w:rPr>
                <w:rFonts w:ascii="Times New Roman" w:hAnsi="Times New Roman" w:eastAsia="Times New Roman" w:cs="Times New Roman"/>
                <w:color w:val="231F20"/>
                <w:spacing w:val="-1"/>
              </w:rPr>
              <w:t>ITU-</w:t>
            </w:r>
            <w:r>
              <w:rPr>
                <w:rFonts w:ascii="Times New Roman" w:hAnsi="Times New Roman" w:eastAsia="Times New Roman" w:cs="Times New Roman"/>
                <w:color w:val="231F20"/>
                <w:spacing w:val="14"/>
                <w:w w:val="101"/>
              </w:rPr>
              <w:t xml:space="preserve"> </w:t>
            </w:r>
            <w:r>
              <w:rPr>
                <w:rFonts w:ascii="Times New Roman" w:hAnsi="Times New Roman" w:eastAsia="Times New Roman" w:cs="Times New Roman"/>
                <w:color w:val="231F20"/>
                <w:spacing w:val="-2"/>
              </w:rPr>
              <w:t>TFG-DPM D2.1</w:t>
            </w:r>
            <w:r>
              <w:rPr>
                <w:color w:val="231F20"/>
                <w:spacing w:val="-2"/>
              </w:rPr>
              <w:t>）</w:t>
            </w:r>
          </w:p>
        </w:tc>
      </w:tr>
      <w:tr>
        <w:trPr>
          <w:trHeight w:val="1072" w:hRule="atLeast"/>
        </w:trPr>
        <w:tc>
          <w:tcPr>
            <w:tcW w:w="1207" w:type="dxa"/>
            <w:vAlign w:val="top"/>
            <w:tcBorders>
              <w:left w:val="single" w:color="231F20" w:sz="6" w:space="0"/>
              <w:bottom w:val="single" w:color="231F20" w:sz="6" w:space="0"/>
            </w:tcBorders>
          </w:tcPr>
          <w:p>
            <w:pPr>
              <w:spacing w:line="392" w:lineRule="auto"/>
              <w:rPr>
                <w:rFonts w:ascii="Arial"/>
                <w:sz w:val="21"/>
              </w:rPr>
            </w:pPr>
            <w:r/>
          </w:p>
          <w:p>
            <w:pPr>
              <w:pStyle w:val="TableText"/>
              <w:ind w:left="242"/>
              <w:spacing w:before="58" w:line="220" w:lineRule="auto"/>
              <w:rPr/>
            </w:pPr>
            <w:r>
              <w:rPr>
                <w:color w:val="231F20"/>
                <w:spacing w:val="-2"/>
              </w:rPr>
              <w:t>数据治理</w:t>
            </w:r>
          </w:p>
        </w:tc>
        <w:tc>
          <w:tcPr>
            <w:tcW w:w="917" w:type="dxa"/>
            <w:vAlign w:val="top"/>
            <w:tcBorders>
              <w:bottom w:val="single" w:color="231F20" w:sz="6" w:space="0"/>
            </w:tcBorders>
          </w:tcPr>
          <w:p>
            <w:pPr>
              <w:spacing w:line="392" w:lineRule="auto"/>
              <w:rPr>
                <w:rFonts w:ascii="Arial"/>
                <w:sz w:val="21"/>
              </w:rPr>
            </w:pPr>
            <w:r/>
          </w:p>
          <w:p>
            <w:pPr>
              <w:pStyle w:val="TableText"/>
              <w:ind w:left="163"/>
              <w:spacing w:before="58" w:line="220" w:lineRule="auto"/>
              <w:rPr/>
            </w:pPr>
            <w:r>
              <w:rPr>
                <w:rFonts w:ascii="Times New Roman" w:hAnsi="Times New Roman" w:eastAsia="Times New Roman" w:cs="Times New Roman"/>
                <w:color w:val="231F20"/>
                <w:spacing w:val="-1"/>
              </w:rPr>
              <w:t>2020</w:t>
            </w:r>
            <w:r>
              <w:rPr>
                <w:rFonts w:ascii="Times New Roman" w:hAnsi="Times New Roman" w:eastAsia="Times New Roman" w:cs="Times New Roman"/>
                <w:color w:val="231F20"/>
                <w:spacing w:val="7"/>
              </w:rPr>
              <w:t xml:space="preserve"> </w:t>
            </w:r>
            <w:r>
              <w:rPr>
                <w:color w:val="231F20"/>
                <w:spacing w:val="-1"/>
              </w:rPr>
              <w:t>年</w:t>
            </w:r>
          </w:p>
        </w:tc>
        <w:tc>
          <w:tcPr>
            <w:tcW w:w="3057" w:type="dxa"/>
            <w:vAlign w:val="top"/>
            <w:tcBorders>
              <w:bottom w:val="single" w:color="231F20" w:sz="6" w:space="0"/>
            </w:tcBorders>
          </w:tcPr>
          <w:p>
            <w:pPr>
              <w:pStyle w:val="TableText"/>
              <w:ind w:left="57" w:right="51"/>
              <w:spacing w:before="62" w:line="243" w:lineRule="auto"/>
              <w:rPr/>
            </w:pPr>
            <w:r>
              <w:rPr>
                <w:color w:val="231F20"/>
                <w:spacing w:val="16"/>
              </w:rPr>
              <w:t>①对组织的数据管理和利用进行评</w:t>
            </w:r>
            <w:r>
              <w:rPr>
                <w:color w:val="231F20"/>
                <w:spacing w:val="2"/>
              </w:rPr>
              <w:t xml:space="preserve"> </w:t>
            </w:r>
            <w:r>
              <w:rPr>
                <w:color w:val="231F20"/>
                <w:spacing w:val="-1"/>
              </w:rPr>
              <w:t>估、指导和监督</w:t>
            </w:r>
          </w:p>
          <w:p>
            <w:pPr>
              <w:pStyle w:val="TableText"/>
              <w:ind w:left="59" w:right="59" w:hanging="3"/>
              <w:spacing w:before="46" w:line="243" w:lineRule="auto"/>
              <w:rPr/>
            </w:pPr>
            <w:r>
              <w:rPr>
                <w:color w:val="231F20"/>
                <w:spacing w:val="3"/>
              </w:rPr>
              <w:t>②通过提供不断创新的数据服务，为</w:t>
            </w:r>
            <w:r>
              <w:rPr>
                <w:color w:val="231F20"/>
                <w:spacing w:val="6"/>
              </w:rPr>
              <w:t xml:space="preserve"> </w:t>
            </w:r>
            <w:r>
              <w:rPr>
                <w:color w:val="231F20"/>
                <w:spacing w:val="-2"/>
              </w:rPr>
              <w:t>组织创造价值</w:t>
            </w:r>
          </w:p>
        </w:tc>
        <w:tc>
          <w:tcPr>
            <w:tcW w:w="3024" w:type="dxa"/>
            <w:vAlign w:val="top"/>
            <w:tcBorders>
              <w:bottom w:val="single" w:color="231F20" w:sz="6" w:space="0"/>
              <w:right w:val="single" w:color="231F20" w:sz="6" w:space="0"/>
            </w:tcBorders>
          </w:tcPr>
          <w:p>
            <w:pPr>
              <w:spacing w:line="263" w:lineRule="auto"/>
              <w:rPr>
                <w:rFonts w:ascii="Arial"/>
                <w:sz w:val="21"/>
              </w:rPr>
            </w:pPr>
            <w:r/>
          </w:p>
          <w:p>
            <w:pPr>
              <w:pStyle w:val="TableText"/>
              <w:ind w:left="88" w:right="1" w:hanging="89"/>
              <w:spacing w:before="59" w:line="243" w:lineRule="auto"/>
              <w:rPr/>
            </w:pPr>
            <w:r>
              <w:rPr>
                <w:color w:val="231F20"/>
                <w:spacing w:val="-9"/>
              </w:rPr>
              <w:t>《信息技术</w:t>
            </w:r>
            <w:r>
              <w:rPr>
                <w:color w:val="231F20"/>
                <w:spacing w:val="-31"/>
              </w:rPr>
              <w:t xml:space="preserve"> </w:t>
            </w:r>
            <w:r>
              <w:rPr>
                <w:color w:val="231F20"/>
                <w:spacing w:val="-9"/>
              </w:rPr>
              <w:t>大数据参考架构</w:t>
            </w:r>
            <w:r>
              <w:rPr>
                <w:color w:val="231F20"/>
                <w:spacing w:val="-45"/>
              </w:rPr>
              <w:t xml:space="preserve"> </w:t>
            </w:r>
            <w:r>
              <w:rPr>
                <w:color w:val="231F20"/>
                <w:spacing w:val="-9"/>
              </w:rPr>
              <w:t>第三部分：</w:t>
            </w:r>
            <w:r>
              <w:rPr>
                <w:color w:val="231F20"/>
              </w:rPr>
              <w:t xml:space="preserve"> </w:t>
            </w:r>
            <w:r>
              <w:rPr>
                <w:color w:val="231F20"/>
                <w:spacing w:val="-8"/>
              </w:rPr>
              <w:t>参考架构》（</w:t>
            </w:r>
            <w:r>
              <w:rPr>
                <w:rFonts w:ascii="Times New Roman" w:hAnsi="Times New Roman" w:eastAsia="Times New Roman" w:cs="Times New Roman"/>
                <w:color w:val="231F20"/>
                <w:spacing w:val="-8"/>
              </w:rPr>
              <w:t>ISO/IEC 20547-3:2020</w:t>
            </w:r>
            <w:r>
              <w:rPr>
                <w:color w:val="231F20"/>
                <w:spacing w:val="-8"/>
              </w:rPr>
              <w:t>）</w:t>
            </w:r>
          </w:p>
        </w:tc>
      </w:tr>
    </w:tbl>
    <w:p>
      <w:pPr>
        <w:pStyle w:val="BodyText"/>
        <w:ind w:left="577" w:right="8" w:firstLine="425"/>
        <w:spacing w:before="224" w:line="269" w:lineRule="auto"/>
        <w:jc w:val="both"/>
        <w:rPr/>
      </w:pPr>
      <w:r>
        <w:rPr>
          <w:color w:val="231F20"/>
        </w:rPr>
        <w:t>对数据治理模型的理论研究也取得了一定的成果。数据治理模型可以帮助组织厘清复</w:t>
      </w:r>
      <w:r>
        <w:rPr>
          <w:color w:val="231F20"/>
          <w:spacing w:val="3"/>
        </w:rPr>
        <w:t xml:space="preserve"> </w:t>
      </w:r>
      <w:r>
        <w:rPr>
          <w:color w:val="231F20"/>
        </w:rPr>
        <w:t>杂、模糊的概念及关系，指导组织开展高效的数据治理工作。当前关于数据治理模型的研</w:t>
      </w:r>
      <w:r>
        <w:rPr>
          <w:color w:val="231F20"/>
          <w:spacing w:val="12"/>
        </w:rPr>
        <w:t xml:space="preserve"> </w:t>
      </w:r>
      <w:r>
        <w:rPr>
          <w:color w:val="231F20"/>
        </w:rPr>
        <w:t>究主要集中在数据治理成熟度评估、数据治理有效性评价、面向大数据背景下的数据治理</w:t>
      </w:r>
      <w:r>
        <w:rPr>
          <w:color w:val="231F20"/>
          <w:spacing w:val="14"/>
        </w:rPr>
        <w:t xml:space="preserve"> </w:t>
      </w:r>
      <w:r>
        <w:rPr>
          <w:color w:val="231F20"/>
          <w:spacing w:val="-2"/>
        </w:rPr>
        <w:t>模型和针对具体应用层面的数据治理模型研究几方面。</w:t>
      </w:r>
    </w:p>
    <w:p>
      <w:pPr>
        <w:pStyle w:val="BodyText"/>
        <w:ind w:left="577" w:firstLine="426"/>
        <w:spacing w:before="73" w:line="272" w:lineRule="auto"/>
        <w:jc w:val="both"/>
        <w:rPr/>
      </w:pPr>
      <w:r>
        <w:rPr>
          <w:color w:val="231F20"/>
        </w:rPr>
        <w:t>此外，还有数据治理框架的相关理论研究。数据治理框架是指基于对数据治理领域基</w:t>
      </w:r>
      <w:r>
        <w:rPr>
          <w:color w:val="231F20"/>
          <w:spacing w:val="16"/>
        </w:rPr>
        <w:t xml:space="preserve"> </w:t>
      </w:r>
      <w:r>
        <w:rPr>
          <w:color w:val="231F20"/>
          <w:spacing w:val="1"/>
        </w:rPr>
        <w:t>本概念的分析，建构起相关的概念关系，以反映</w:t>
      </w:r>
      <w:r>
        <w:rPr>
          <w:color w:val="231F20"/>
        </w:rPr>
        <w:t>这一领域中的基本概念及概念间的逻辑关 </w:t>
      </w:r>
      <w:r>
        <w:rPr>
          <w:color w:val="231F20"/>
        </w:rPr>
        <w:t>系，从而为实现数据治理战略目标提供理论基础。当前国内对于数据治理框架的研究主要</w:t>
      </w:r>
      <w:r>
        <w:rPr>
          <w:color w:val="231F20"/>
          <w:spacing w:val="11"/>
        </w:rPr>
        <w:t xml:space="preserve"> </w:t>
      </w:r>
      <w:r>
        <w:rPr>
          <w:color w:val="231F20"/>
        </w:rPr>
        <w:t>集中在国际主流的数据治理框架、大数据情境下的数据治理框架和针对具体行业领域的数</w:t>
      </w:r>
      <w:r>
        <w:rPr>
          <w:color w:val="231F20"/>
          <w:spacing w:val="13"/>
        </w:rPr>
        <w:t xml:space="preserve"> </w:t>
      </w:r>
      <w:r>
        <w:rPr>
          <w:color w:val="231F20"/>
          <w:spacing w:val="-3"/>
        </w:rPr>
        <w:t>据治理框架构建等几方面。</w:t>
      </w:r>
    </w:p>
    <w:p>
      <w:pPr>
        <w:ind w:left="594"/>
        <w:spacing w:before="203" w:line="207" w:lineRule="auto"/>
        <w:rPr>
          <w:sz w:val="23"/>
          <w:szCs w:val="23"/>
        </w:rPr>
      </w:pPr>
      <w:r>
        <w:rPr>
          <w:rFonts w:ascii="Arial" w:hAnsi="Arial" w:eastAsia="Arial" w:cs="Arial"/>
          <w:sz w:val="23"/>
          <w:szCs w:val="23"/>
          <w:u w:val="single" w:color="76787B"/>
          <w:color w:val="231F20"/>
          <w:spacing w:val="-3"/>
        </w:rPr>
        <w:t>1.3.2</w:t>
      </w:r>
      <w:r>
        <w:rPr>
          <w:rFonts w:ascii="Arial" w:hAnsi="Arial" w:eastAsia="Arial" w:cs="Arial"/>
          <w:sz w:val="23"/>
          <w:szCs w:val="23"/>
          <w:u w:val="single" w:color="76787B"/>
          <w:color w:val="231F20"/>
          <w:spacing w:val="18"/>
        </w:rPr>
        <w:t xml:space="preserve">   </w:t>
      </w:r>
      <w:r>
        <w:rPr>
          <w:rFonts w:ascii="Microsoft YaHei" w:hAnsi="Microsoft YaHei" w:eastAsia="Microsoft YaHei" w:cs="Microsoft YaHei"/>
          <w:sz w:val="23"/>
          <w:szCs w:val="23"/>
          <w:u w:val="single" w:color="76787B"/>
          <w:color w:val="231F20"/>
          <w:spacing w:val="-3"/>
        </w:rPr>
        <w:t>数据治理的研究重点</w:t>
      </w:r>
      <w:r>
        <w:rPr>
          <w:sz w:val="23"/>
          <w:szCs w:val="23"/>
          <w:position w:val="-6"/>
        </w:rPr>
        <w:drawing>
          <wp:inline distT="0" distB="0" distL="0" distR="0">
            <wp:extent cx="83319" cy="187197"/>
            <wp:effectExtent l="0" t="0" r="0" b="0"/>
            <wp:docPr id="168" name="IM 168"/>
            <wp:cNvGraphicFramePr/>
            <a:graphic>
              <a:graphicData uri="http://schemas.openxmlformats.org/drawingml/2006/picture">
                <pic:pic>
                  <pic:nvPicPr>
                    <pic:cNvPr id="168" name="IM 168"/>
                    <pic:cNvPicPr/>
                  </pic:nvPicPr>
                  <pic:blipFill>
                    <a:blip r:embed="rId110"/>
                    <a:stretch>
                      <a:fillRect/>
                    </a:stretch>
                  </pic:blipFill>
                  <pic:spPr>
                    <a:xfrm rot="0">
                      <a:off x="0" y="0"/>
                      <a:ext cx="83319" cy="187197"/>
                    </a:xfrm>
                    <a:prstGeom prst="rect">
                      <a:avLst/>
                    </a:prstGeom>
                  </pic:spPr>
                </pic:pic>
              </a:graphicData>
            </a:graphic>
          </wp:inline>
        </w:drawing>
      </w:r>
    </w:p>
    <w:p>
      <w:pPr>
        <w:pStyle w:val="BodyText"/>
        <w:ind w:right="7"/>
        <w:spacing w:before="179" w:line="220" w:lineRule="auto"/>
        <w:jc w:val="right"/>
        <w:rPr/>
      </w:pPr>
      <w:r>
        <w:rPr>
          <w:color w:val="231F20"/>
        </w:rPr>
        <w:t>随着各类组织中业务的增长，海量、多源异构的数据对数据的管理、存储和应</w:t>
      </w:r>
      <w:r>
        <w:rPr>
          <w:color w:val="231F20"/>
          <w:spacing w:val="-1"/>
        </w:rPr>
        <w:t>用均提</w:t>
      </w:r>
    </w:p>
    <w:p>
      <w:pPr>
        <w:spacing w:line="220" w:lineRule="auto"/>
        <w:sectPr>
          <w:footerReference w:type="default" r:id="rId106"/>
          <w:pgSz w:w="10489" w:h="14741"/>
          <w:pgMar w:top="482" w:right="1132" w:bottom="734" w:left="564" w:header="0" w:footer="552" w:gutter="0"/>
        </w:sectPr>
        <w:rPr/>
      </w:pPr>
    </w:p>
    <w:p>
      <w:pPr>
        <w:spacing w:before="41" w:line="204" w:lineRule="auto"/>
        <w:jc w:val="right"/>
        <w:rPr>
          <w:sz w:val="18"/>
          <w:szCs w:val="18"/>
        </w:rPr>
      </w:pPr>
      <w:r>
        <w:rPr>
          <w:rFonts w:ascii="Microsoft YaHei" w:hAnsi="Microsoft YaHei" w:eastAsia="Microsoft YaHei" w:cs="Microsoft YaHei"/>
          <w:sz w:val="18"/>
          <w:szCs w:val="18"/>
          <w:color w:val="4B4C4D"/>
          <w:spacing w:val="-2"/>
        </w:rPr>
        <w:t>第 </w:t>
      </w:r>
      <w:r>
        <w:rPr>
          <w:rFonts w:ascii="Arial" w:hAnsi="Arial" w:eastAsia="Arial" w:cs="Arial"/>
          <w:sz w:val="18"/>
          <w:szCs w:val="18"/>
          <w:b/>
          <w:bCs/>
          <w:color w:val="4B4C4D"/>
          <w:spacing w:val="-2"/>
        </w:rPr>
        <w:t>1 </w:t>
      </w:r>
      <w:r>
        <w:rPr>
          <w:rFonts w:ascii="Microsoft YaHei" w:hAnsi="Microsoft YaHei" w:eastAsia="Microsoft YaHei" w:cs="Microsoft YaHei"/>
          <w:sz w:val="18"/>
          <w:szCs w:val="18"/>
          <w:color w:val="4B4C4D"/>
          <w:spacing w:val="-2"/>
        </w:rPr>
        <w:t>章</w:t>
      </w:r>
      <w:r>
        <w:rPr>
          <w:rFonts w:ascii="Microsoft YaHei" w:hAnsi="Microsoft YaHei" w:eastAsia="Microsoft YaHei" w:cs="Microsoft YaHei"/>
          <w:sz w:val="18"/>
          <w:szCs w:val="18"/>
          <w:color w:val="4B4C4D"/>
          <w:spacing w:val="9"/>
        </w:rPr>
        <w:t xml:space="preserve">   </w:t>
      </w:r>
      <w:r>
        <w:rPr>
          <w:rFonts w:ascii="Microsoft YaHei" w:hAnsi="Microsoft YaHei" w:eastAsia="Microsoft YaHei" w:cs="Microsoft YaHei"/>
          <w:sz w:val="18"/>
          <w:szCs w:val="18"/>
          <w:color w:val="4B4C4D"/>
          <w:spacing w:val="-2"/>
        </w:rPr>
        <w:t>数据与数据治理  </w:t>
      </w:r>
      <w:r>
        <w:rPr>
          <w:sz w:val="18"/>
          <w:szCs w:val="18"/>
          <w:position w:val="-2"/>
        </w:rPr>
        <w:drawing>
          <wp:inline distT="0" distB="0" distL="0" distR="0">
            <wp:extent cx="339153" cy="105117"/>
            <wp:effectExtent l="0" t="0" r="0" b="0"/>
            <wp:docPr id="170" name="IM 170"/>
            <wp:cNvGraphicFramePr/>
            <a:graphic>
              <a:graphicData uri="http://schemas.openxmlformats.org/drawingml/2006/picture">
                <pic:pic>
                  <pic:nvPicPr>
                    <pic:cNvPr id="170" name="IM 170"/>
                    <pic:cNvPicPr/>
                  </pic:nvPicPr>
                  <pic:blipFill>
                    <a:blip r:embed="rId112"/>
                    <a:stretch>
                      <a:fillRect/>
                    </a:stretch>
                  </pic:blipFill>
                  <pic:spPr>
                    <a:xfrm rot="0">
                      <a:off x="0" y="0"/>
                      <a:ext cx="339153" cy="105117"/>
                    </a:xfrm>
                    <a:prstGeom prst="rect">
                      <a:avLst/>
                    </a:prstGeom>
                  </pic:spPr>
                </pic:pic>
              </a:graphicData>
            </a:graphic>
          </wp:inline>
        </w:drawing>
      </w:r>
    </w:p>
    <w:p>
      <w:pPr>
        <w:spacing w:line="305" w:lineRule="auto"/>
        <w:rPr>
          <w:rFonts w:ascii="Arial"/>
          <w:sz w:val="21"/>
        </w:rPr>
      </w:pPr>
      <w:r/>
    </w:p>
    <w:p>
      <w:pPr>
        <w:pStyle w:val="BodyText"/>
        <w:ind w:left="5" w:right="654" w:firstLine="14"/>
        <w:spacing w:before="68" w:line="264" w:lineRule="auto"/>
        <w:jc w:val="both"/>
        <w:rPr/>
      </w:pPr>
      <w:r>
        <w:rPr>
          <w:color w:val="231F20"/>
        </w:rPr>
        <w:t>出了新的要求。因此，顺应时代发展趋势，构建起完整的数据</w:t>
      </w:r>
      <w:r>
        <w:rPr>
          <w:color w:val="231F20"/>
          <w:spacing w:val="-1"/>
        </w:rPr>
        <w:t>治理体系，提供全面的数据</w:t>
      </w:r>
      <w:r>
        <w:rPr>
          <w:color w:val="231F20"/>
        </w:rPr>
        <w:t xml:space="preserve"> </w:t>
      </w:r>
      <w:r>
        <w:rPr>
          <w:color w:val="231F20"/>
        </w:rPr>
        <w:t>治理保障，从而充分发挥数据的资产价值，更好地支持数据治理的应用实践，成为学术界</w:t>
      </w:r>
      <w:r>
        <w:rPr>
          <w:color w:val="231F20"/>
          <w:spacing w:val="7"/>
        </w:rPr>
        <w:t xml:space="preserve"> </w:t>
      </w:r>
      <w:r>
        <w:rPr>
          <w:color w:val="231F20"/>
          <w:spacing w:val="-5"/>
        </w:rPr>
        <w:t>关注的焦点问题。</w:t>
      </w:r>
    </w:p>
    <w:p>
      <w:pPr>
        <w:pStyle w:val="BodyText"/>
        <w:ind w:left="440"/>
        <w:spacing w:before="72" w:line="220" w:lineRule="auto"/>
        <w:rPr/>
      </w:pPr>
      <w:r>
        <w:rPr>
          <w:color w:val="231F20"/>
          <w:spacing w:val="-3"/>
        </w:rPr>
        <w:t>当前应用研究的主要内容可以概括为以下几方</w:t>
      </w:r>
      <w:r>
        <w:rPr>
          <w:color w:val="231F20"/>
          <w:spacing w:val="-4"/>
        </w:rPr>
        <w:t>面：</w:t>
      </w:r>
    </w:p>
    <w:p>
      <w:pPr>
        <w:pStyle w:val="BodyText"/>
        <w:ind w:left="327"/>
        <w:spacing w:before="73" w:line="220" w:lineRule="auto"/>
        <w:rPr/>
      </w:pPr>
      <w:r>
        <w:rPr>
          <w:color w:val="231F20"/>
          <w:spacing w:val="-1"/>
        </w:rPr>
        <w:t>（</w:t>
      </w:r>
      <w:r>
        <w:rPr>
          <w:rFonts w:ascii="Times New Roman" w:hAnsi="Times New Roman" w:eastAsia="Times New Roman" w:cs="Times New Roman"/>
          <w:color w:val="231F20"/>
          <w:spacing w:val="-1"/>
        </w:rPr>
        <w:t>1</w:t>
      </w:r>
      <w:r>
        <w:rPr>
          <w:color w:val="231F20"/>
          <w:spacing w:val="-1"/>
        </w:rPr>
        <w:t>）数据治理的体系构建研究，包括数据治理模型与</w:t>
      </w:r>
      <w:r>
        <w:rPr>
          <w:color w:val="231F20"/>
          <w:spacing w:val="-2"/>
        </w:rPr>
        <w:t>框架的设计与验证等。</w:t>
      </w:r>
    </w:p>
    <w:p>
      <w:pPr>
        <w:pStyle w:val="BodyText"/>
        <w:ind w:left="5" w:right="655" w:firstLine="321"/>
        <w:spacing w:before="73" w:line="253" w:lineRule="auto"/>
        <w:rPr/>
      </w:pPr>
      <w:r>
        <w:rPr>
          <w:color w:val="231F20"/>
        </w:rPr>
        <w:t>（</w:t>
      </w:r>
      <w:r>
        <w:rPr>
          <w:rFonts w:ascii="Times New Roman" w:hAnsi="Times New Roman" w:eastAsia="Times New Roman" w:cs="Times New Roman"/>
          <w:color w:val="231F20"/>
        </w:rPr>
        <w:t>2</w:t>
      </w:r>
      <w:r>
        <w:rPr>
          <w:color w:val="231F20"/>
        </w:rPr>
        <w:t>）数据治理的有效保障机制研究，就如何提升数据质量、保护数据隐私、保证数据 </w:t>
      </w:r>
      <w:r>
        <w:rPr>
          <w:color w:val="231F20"/>
          <w:spacing w:val="-3"/>
        </w:rPr>
        <w:t>安全等关键问题进行深入探讨。</w:t>
      </w:r>
    </w:p>
    <w:p>
      <w:pPr>
        <w:pStyle w:val="BodyText"/>
        <w:ind w:left="25" w:right="651" w:firstLine="302"/>
        <w:spacing w:before="72" w:line="254" w:lineRule="auto"/>
        <w:rPr/>
      </w:pPr>
      <w:r>
        <w:rPr>
          <w:color w:val="231F20"/>
          <w:spacing w:val="6"/>
        </w:rPr>
        <w:t>（</w:t>
      </w:r>
      <w:r>
        <w:rPr>
          <w:rFonts w:ascii="Times New Roman" w:hAnsi="Times New Roman" w:eastAsia="Times New Roman" w:cs="Times New Roman"/>
          <w:color w:val="231F20"/>
          <w:spacing w:val="6"/>
        </w:rPr>
        <w:t>3</w:t>
      </w:r>
      <w:r>
        <w:rPr>
          <w:color w:val="231F20"/>
          <w:spacing w:val="6"/>
        </w:rPr>
        <w:t>）数据治理在具体应用领域的实践探索，特别是以数据为核</w:t>
      </w:r>
      <w:r>
        <w:rPr>
          <w:color w:val="231F20"/>
          <w:spacing w:val="5"/>
        </w:rPr>
        <w:t>心的行业的数据治理</w:t>
      </w:r>
      <w:r>
        <w:rPr>
          <w:color w:val="231F20"/>
        </w:rPr>
        <w:t xml:space="preserve"> </w:t>
      </w:r>
      <w:r>
        <w:rPr>
          <w:color w:val="231F20"/>
          <w:spacing w:val="-14"/>
        </w:rPr>
        <w:t>问题。</w:t>
      </w:r>
    </w:p>
    <w:p>
      <w:pPr>
        <w:pStyle w:val="BodyText"/>
        <w:ind w:left="327"/>
        <w:spacing w:before="71" w:line="220" w:lineRule="auto"/>
        <w:rPr/>
      </w:pPr>
      <w:r>
        <w:rPr>
          <w:color w:val="231F20"/>
          <w:spacing w:val="-2"/>
        </w:rPr>
        <w:t>（</w:t>
      </w:r>
      <w:r>
        <w:rPr>
          <w:rFonts w:ascii="Times New Roman" w:hAnsi="Times New Roman" w:eastAsia="Times New Roman" w:cs="Times New Roman"/>
          <w:color w:val="231F20"/>
          <w:spacing w:val="-2"/>
        </w:rPr>
        <w:t>4</w:t>
      </w:r>
      <w:r>
        <w:rPr>
          <w:color w:val="231F20"/>
          <w:spacing w:val="-2"/>
        </w:rPr>
        <w:t>）大数据、全球化时代背景给数据治理带来的新机遇与挑战。</w:t>
      </w:r>
    </w:p>
    <w:p>
      <w:pPr>
        <w:pStyle w:val="BodyText"/>
        <w:ind w:left="2" w:right="652" w:firstLine="437"/>
        <w:spacing w:before="75" w:line="252" w:lineRule="auto"/>
        <w:rPr/>
      </w:pPr>
      <w:r>
        <w:rPr>
          <w:color w:val="231F20"/>
          <w:spacing w:val="6"/>
        </w:rPr>
        <w:t>当前，国内关于数据治理的研究基本是偏重理论，大多</w:t>
      </w:r>
      <w:r>
        <w:rPr>
          <w:color w:val="231F20"/>
          <w:spacing w:val="5"/>
        </w:rPr>
        <w:t>是侧重数据治理的规划、方</w:t>
      </w:r>
      <w:r>
        <w:rPr>
          <w:color w:val="231F20"/>
        </w:rPr>
        <w:t xml:space="preserve"> </w:t>
      </w:r>
      <w:r>
        <w:rPr>
          <w:color w:val="231F20"/>
          <w:spacing w:val="-2"/>
        </w:rPr>
        <w:t>法、框架、体系构建等，数据治理技术层面的研究较少。</w:t>
      </w:r>
    </w:p>
    <w:p>
      <w:pPr>
        <w:ind w:left="18"/>
        <w:spacing w:before="213" w:line="201" w:lineRule="auto"/>
        <w:rPr>
          <w:sz w:val="23"/>
          <w:szCs w:val="23"/>
        </w:rPr>
      </w:pPr>
      <w:r>
        <w:rPr>
          <w:rFonts w:ascii="Arial" w:hAnsi="Arial" w:eastAsia="Arial" w:cs="Arial"/>
          <w:sz w:val="23"/>
          <w:szCs w:val="23"/>
          <w:u w:val="single" w:color="76787B"/>
          <w:color w:val="231F20"/>
          <w:spacing w:val="-3"/>
        </w:rPr>
        <w:t>1.3.3</w:t>
      </w:r>
      <w:r>
        <w:rPr>
          <w:rFonts w:ascii="Arial" w:hAnsi="Arial" w:eastAsia="Arial" w:cs="Arial"/>
          <w:sz w:val="23"/>
          <w:szCs w:val="23"/>
          <w:u w:val="single" w:color="76787B"/>
          <w:color w:val="231F20"/>
          <w:spacing w:val="18"/>
        </w:rPr>
        <w:t xml:space="preserve">   </w:t>
      </w:r>
      <w:r>
        <w:rPr>
          <w:rFonts w:ascii="Microsoft YaHei" w:hAnsi="Microsoft YaHei" w:eastAsia="Microsoft YaHei" w:cs="Microsoft YaHei"/>
          <w:sz w:val="23"/>
          <w:szCs w:val="23"/>
          <w:u w:val="single" w:color="76787B"/>
          <w:color w:val="231F20"/>
          <w:spacing w:val="-3"/>
        </w:rPr>
        <w:t>数据治理的应用场景</w:t>
      </w:r>
      <w:r>
        <w:rPr>
          <w:rFonts w:ascii="Microsoft YaHei" w:hAnsi="Microsoft YaHei" w:eastAsia="Microsoft YaHei" w:cs="Microsoft YaHei"/>
          <w:sz w:val="23"/>
          <w:szCs w:val="23"/>
          <w:u w:val="single" w:color="76787B"/>
          <w:color w:val="231F20"/>
          <w:spacing w:val="-45"/>
        </w:rPr>
        <w:t xml:space="preserve"> </w:t>
      </w:r>
      <w:r>
        <w:rPr>
          <w:sz w:val="23"/>
          <w:szCs w:val="23"/>
          <w:position w:val="-7"/>
        </w:rPr>
        <w:drawing>
          <wp:inline distT="0" distB="0" distL="0" distR="0">
            <wp:extent cx="70199" cy="187197"/>
            <wp:effectExtent l="0" t="0" r="0" b="0"/>
            <wp:docPr id="172" name="IM 172"/>
            <wp:cNvGraphicFramePr/>
            <a:graphic>
              <a:graphicData uri="http://schemas.openxmlformats.org/drawingml/2006/picture">
                <pic:pic>
                  <pic:nvPicPr>
                    <pic:cNvPr id="172" name="IM 172"/>
                    <pic:cNvPicPr/>
                  </pic:nvPicPr>
                  <pic:blipFill>
                    <a:blip r:embed="rId113"/>
                    <a:stretch>
                      <a:fillRect/>
                    </a:stretch>
                  </pic:blipFill>
                  <pic:spPr>
                    <a:xfrm rot="0">
                      <a:off x="0" y="0"/>
                      <a:ext cx="70199" cy="187197"/>
                    </a:xfrm>
                    <a:prstGeom prst="rect">
                      <a:avLst/>
                    </a:prstGeom>
                  </pic:spPr>
                </pic:pic>
              </a:graphicData>
            </a:graphic>
          </wp:inline>
        </w:drawing>
      </w:r>
    </w:p>
    <w:p>
      <w:pPr>
        <w:pStyle w:val="BodyText"/>
        <w:ind w:right="586" w:firstLine="428"/>
        <w:spacing w:before="179" w:line="274" w:lineRule="auto"/>
        <w:rPr/>
      </w:pPr>
      <w:r>
        <w:rPr>
          <w:color w:val="231F20"/>
          <w:spacing w:val="6"/>
        </w:rPr>
        <w:t>数据治理发源于图书馆、电力、银行业等以数据为核心业务的行业，随着数据的爆</w:t>
      </w:r>
      <w:r>
        <w:rPr>
          <w:color w:val="231F20"/>
        </w:rPr>
        <w:t xml:space="preserve"> </w:t>
      </w:r>
      <w:r>
        <w:rPr>
          <w:color w:val="231F20"/>
          <w:spacing w:val="12"/>
        </w:rPr>
        <w:t>发式增长，高校建设、医疗层面和政府治理等方面的数据治</w:t>
      </w:r>
      <w:r>
        <w:rPr>
          <w:color w:val="231F20"/>
          <w:spacing w:val="11"/>
        </w:rPr>
        <w:t>理问题也得到了学界的重</w:t>
      </w:r>
      <w:r>
        <w:rPr>
          <w:color w:val="231F20"/>
        </w:rPr>
        <w:t xml:space="preserve"> </w:t>
      </w:r>
      <w:r>
        <w:rPr>
          <w:color w:val="231F20"/>
          <w:spacing w:val="12"/>
        </w:rPr>
        <w:t>视。数据治理应用实践层面的研究从不同的行业，针对不</w:t>
      </w:r>
      <w:r>
        <w:rPr>
          <w:color w:val="231F20"/>
          <w:spacing w:val="11"/>
        </w:rPr>
        <w:t>同领域所遇到的实际问题展</w:t>
      </w:r>
      <w:r>
        <w:rPr>
          <w:color w:val="231F20"/>
        </w:rPr>
        <w:t xml:space="preserve"> </w:t>
      </w:r>
      <w:r>
        <w:rPr>
          <w:color w:val="231F20"/>
          <w:spacing w:val="2"/>
        </w:rPr>
        <w:t>开。通过将数据作为组织的资产进行管理，运用有效的数据治理手段，发挥数据的价值，</w:t>
      </w:r>
      <w:r>
        <w:rPr>
          <w:color w:val="231F20"/>
          <w:spacing w:val="3"/>
        </w:rPr>
        <w:t xml:space="preserve"> </w:t>
      </w:r>
      <w:r>
        <w:rPr>
          <w:color w:val="231F20"/>
        </w:rPr>
        <w:t>进而提升组织的竞争力。数据治理的场景研究对于未来的经济增长和社会发展均具</w:t>
      </w:r>
      <w:r>
        <w:rPr>
          <w:color w:val="231F20"/>
          <w:spacing w:val="-1"/>
        </w:rPr>
        <w:t>有重大 </w:t>
      </w:r>
      <w:r>
        <w:rPr>
          <w:color w:val="231F20"/>
          <w:spacing w:val="-9"/>
        </w:rPr>
        <w:t>意义。</w:t>
      </w:r>
    </w:p>
    <w:p>
      <w:pPr>
        <w:pStyle w:val="BodyText"/>
        <w:ind w:left="433"/>
        <w:spacing w:before="73" w:line="220" w:lineRule="auto"/>
        <w:rPr/>
      </w:pPr>
      <w:r>
        <w:rPr>
          <w:color w:val="231F20"/>
          <w:spacing w:val="-3"/>
        </w:rPr>
        <w:t>下面给出数据治理的一些典型应用场景。</w:t>
      </w:r>
    </w:p>
    <w:p>
      <w:pPr>
        <w:pStyle w:val="BodyText"/>
        <w:ind w:right="653" w:firstLine="326"/>
        <w:spacing w:before="73" w:line="263" w:lineRule="auto"/>
        <w:rPr/>
      </w:pPr>
      <w:r>
        <w:rPr>
          <w:color w:val="231F20"/>
        </w:rPr>
        <w:t>（</w:t>
      </w:r>
      <w:r>
        <w:rPr>
          <w:rFonts w:ascii="Times New Roman" w:hAnsi="Times New Roman" w:eastAsia="Times New Roman" w:cs="Times New Roman"/>
          <w:color w:val="231F20"/>
        </w:rPr>
        <w:t>1</w:t>
      </w:r>
      <w:r>
        <w:rPr>
          <w:color w:val="231F20"/>
        </w:rPr>
        <w:t>）政府数据治理领域。基于我国政府部门间的数据</w:t>
      </w:r>
      <w:r>
        <w:rPr>
          <w:color w:val="231F20"/>
          <w:spacing w:val="-1"/>
        </w:rPr>
        <w:t>协同、数据治理形态、数据利用</w:t>
      </w:r>
      <w:r>
        <w:rPr>
          <w:color w:val="231F20"/>
        </w:rPr>
        <w:t xml:space="preserve"> </w:t>
      </w:r>
      <w:r>
        <w:rPr>
          <w:color w:val="231F20"/>
        </w:rPr>
        <w:t>和数据流程等问题进行研究，分析我国数据治理能力的现状和不足，总结可借鉴的国际经</w:t>
      </w:r>
      <w:r>
        <w:rPr>
          <w:color w:val="231F20"/>
          <w:spacing w:val="12"/>
        </w:rPr>
        <w:t xml:space="preserve"> </w:t>
      </w:r>
      <w:r>
        <w:rPr>
          <w:color w:val="231F20"/>
          <w:spacing w:val="-2"/>
        </w:rPr>
        <w:t>验，提出我国政府部门数据治理的实践路径。</w:t>
      </w:r>
    </w:p>
    <w:p>
      <w:pPr>
        <w:pStyle w:val="BodyText"/>
        <w:ind w:left="1" w:right="654" w:firstLine="325"/>
        <w:spacing w:before="75" w:line="263" w:lineRule="auto"/>
        <w:rPr/>
      </w:pPr>
      <w:r>
        <w:rPr>
          <w:color w:val="231F20"/>
        </w:rPr>
        <w:t>（</w:t>
      </w:r>
      <w:r>
        <w:rPr>
          <w:rFonts w:ascii="Times New Roman" w:hAnsi="Times New Roman" w:eastAsia="Times New Roman" w:cs="Times New Roman"/>
          <w:color w:val="231F20"/>
        </w:rPr>
        <w:t>2</w:t>
      </w:r>
      <w:r>
        <w:rPr>
          <w:color w:val="231F20"/>
        </w:rPr>
        <w:t>）图书馆数据治理领域。以图书馆数据为研究对象，结合高校图书馆数</w:t>
      </w:r>
      <w:r>
        <w:rPr>
          <w:color w:val="231F20"/>
          <w:spacing w:val="-1"/>
        </w:rPr>
        <w:t>据的类型和</w:t>
      </w:r>
      <w:r>
        <w:rPr>
          <w:color w:val="231F20"/>
        </w:rPr>
        <w:t xml:space="preserve"> </w:t>
      </w:r>
      <w:r>
        <w:rPr>
          <w:color w:val="231F20"/>
        </w:rPr>
        <w:t>特点，基于国际上权威的数据治理框架提出我国高校图书馆的治理框架，阐明大数据时代</w:t>
      </w:r>
      <w:r>
        <w:rPr>
          <w:color w:val="231F20"/>
          <w:spacing w:val="11"/>
        </w:rPr>
        <w:t xml:space="preserve"> </w:t>
      </w:r>
      <w:r>
        <w:rPr>
          <w:color w:val="231F20"/>
          <w:spacing w:val="-4"/>
        </w:rPr>
        <w:t>图书馆职能的转变。</w:t>
      </w:r>
    </w:p>
    <w:p>
      <w:pPr>
        <w:pStyle w:val="BodyText"/>
        <w:ind w:left="6" w:right="658" w:firstLine="320"/>
        <w:spacing w:before="73" w:line="253" w:lineRule="auto"/>
        <w:rPr/>
      </w:pPr>
      <w:r>
        <w:rPr>
          <w:color w:val="231F20"/>
        </w:rPr>
        <w:t>（</w:t>
      </w:r>
      <w:r>
        <w:rPr>
          <w:rFonts w:ascii="Times New Roman" w:hAnsi="Times New Roman" w:eastAsia="Times New Roman" w:cs="Times New Roman"/>
          <w:color w:val="231F20"/>
        </w:rPr>
        <w:t>3</w:t>
      </w:r>
      <w:r>
        <w:rPr>
          <w:color w:val="231F20"/>
        </w:rPr>
        <w:t>）医疗领域。分析医疗健康大数据资源特性及治理问题，探索医疗健康数</w:t>
      </w:r>
      <w:r>
        <w:rPr>
          <w:color w:val="231F20"/>
          <w:spacing w:val="-1"/>
        </w:rPr>
        <w:t>据治理的</w:t>
      </w:r>
      <w:r>
        <w:rPr>
          <w:color w:val="231F20"/>
        </w:rPr>
        <w:t xml:space="preserve"> </w:t>
      </w:r>
      <w:r>
        <w:rPr>
          <w:color w:val="231F20"/>
          <w:spacing w:val="-1"/>
        </w:rPr>
        <w:t>实施步骤，包括组织、执行、监管等方面，建立</w:t>
      </w:r>
      <w:r>
        <w:rPr>
          <w:color w:val="231F20"/>
          <w:spacing w:val="-2"/>
        </w:rPr>
        <w:t>医疗健康数据治理体系。</w:t>
      </w:r>
    </w:p>
    <w:p>
      <w:pPr>
        <w:pStyle w:val="BodyText"/>
        <w:ind w:left="2" w:right="584" w:firstLine="325"/>
        <w:spacing w:before="73" w:line="253" w:lineRule="auto"/>
        <w:rPr/>
      </w:pPr>
      <w:r>
        <w:rPr>
          <w:color w:val="231F20"/>
          <w:spacing w:val="2"/>
        </w:rPr>
        <w:t>（</w:t>
      </w:r>
      <w:r>
        <w:rPr>
          <w:rFonts w:ascii="Times New Roman" w:hAnsi="Times New Roman" w:eastAsia="Times New Roman" w:cs="Times New Roman"/>
          <w:color w:val="231F20"/>
          <w:spacing w:val="2"/>
        </w:rPr>
        <w:t>4</w:t>
      </w:r>
      <w:r>
        <w:rPr>
          <w:color w:val="231F20"/>
          <w:spacing w:val="2"/>
        </w:rPr>
        <w:t>）金融领域。探索数据标准化、数据治理规范化运作流程，赋能产业</w:t>
      </w:r>
      <w:r>
        <w:rPr>
          <w:color w:val="231F20"/>
          <w:spacing w:val="1"/>
        </w:rPr>
        <w:t>链数据管理，</w:t>
      </w:r>
      <w:r>
        <w:rPr>
          <w:color w:val="231F20"/>
        </w:rPr>
        <w:t xml:space="preserve"> </w:t>
      </w:r>
      <w:r>
        <w:rPr>
          <w:color w:val="231F20"/>
          <w:spacing w:val="-1"/>
        </w:rPr>
        <w:t>提升监管数据在源系统等环节的数据治理质量，加速监管数据质量能力体系的搭建进程。</w:t>
      </w:r>
    </w:p>
    <w:p>
      <w:pPr>
        <w:spacing w:line="274" w:lineRule="auto"/>
        <w:rPr>
          <w:rFonts w:ascii="Arial"/>
          <w:sz w:val="21"/>
        </w:rPr>
      </w:pPr>
      <w:r/>
    </w:p>
    <w:p>
      <w:pPr>
        <w:ind w:left="14"/>
        <w:spacing w:before="112" w:line="204" w:lineRule="auto"/>
        <w:rPr>
          <w:rFonts w:ascii="Microsoft YaHei" w:hAnsi="Microsoft YaHei" w:eastAsia="Microsoft YaHei" w:cs="Microsoft YaHei"/>
          <w:sz w:val="26"/>
          <w:szCs w:val="26"/>
        </w:rPr>
      </w:pPr>
      <w:r>
        <w:rPr>
          <w:rFonts w:ascii="Arial" w:hAnsi="Arial" w:eastAsia="Arial" w:cs="Arial"/>
          <w:sz w:val="26"/>
          <w:szCs w:val="26"/>
          <w:b/>
          <w:bCs/>
          <w:color w:val="231F20"/>
          <w:spacing w:val="-3"/>
        </w:rPr>
        <w:t>1.4</w:t>
      </w:r>
      <w:r>
        <w:rPr>
          <w:rFonts w:ascii="Arial" w:hAnsi="Arial" w:eastAsia="Arial" w:cs="Arial"/>
          <w:sz w:val="26"/>
          <w:szCs w:val="26"/>
          <w:b/>
          <w:bCs/>
          <w:color w:val="231F20"/>
          <w:spacing w:val="17"/>
        </w:rPr>
        <w:t xml:space="preserve">   </w:t>
      </w:r>
      <w:r>
        <w:rPr>
          <w:rFonts w:ascii="Microsoft YaHei" w:hAnsi="Microsoft YaHei" w:eastAsia="Microsoft YaHei" w:cs="Microsoft YaHei"/>
          <w:sz w:val="26"/>
          <w:szCs w:val="26"/>
          <w:color w:val="231F20"/>
          <w:spacing w:val="-3"/>
        </w:rPr>
        <w:t>数据治理的发展</w:t>
      </w:r>
    </w:p>
    <w:p>
      <w:pPr>
        <w:pStyle w:val="BodyText"/>
        <w:ind w:right="651" w:firstLine="426"/>
        <w:spacing w:before="274" w:line="269" w:lineRule="auto"/>
        <w:jc w:val="both"/>
        <w:rPr/>
      </w:pPr>
      <w:r>
        <w:rPr>
          <w:color w:val="231F20"/>
        </w:rPr>
        <w:t>本节介绍数据治理的发展，主要包含数据治理的发展现状、数据治理面临的问题、数</w:t>
      </w:r>
      <w:r>
        <w:rPr>
          <w:color w:val="231F20"/>
          <w:spacing w:val="8"/>
        </w:rPr>
        <w:t xml:space="preserve"> </w:t>
      </w:r>
      <w:r>
        <w:rPr>
          <w:color w:val="231F20"/>
        </w:rPr>
        <w:t>据治理的发展机遇以及数据治理的发展趋势。了解数据治理的发展现状可以对数据治理的</w:t>
      </w:r>
      <w:r>
        <w:rPr>
          <w:color w:val="231F20"/>
          <w:spacing w:val="6"/>
        </w:rPr>
        <w:t xml:space="preserve"> </w:t>
      </w:r>
      <w:r>
        <w:rPr>
          <w:color w:val="231F20"/>
        </w:rPr>
        <w:t>框架体系有初步的认识，通过国外的数据治理实践总结适用于我国的数据治理经验，对数</w:t>
      </w:r>
      <w:r>
        <w:rPr>
          <w:color w:val="231F20"/>
          <w:spacing w:val="12"/>
        </w:rPr>
        <w:t xml:space="preserve"> </w:t>
      </w:r>
      <w:r>
        <w:rPr>
          <w:color w:val="231F20"/>
        </w:rPr>
        <w:t>据治理当前面临的问题提出更好的解决方案。从数据治理的问题与发展机遇中归纳数据治</w:t>
      </w:r>
    </w:p>
    <w:p>
      <w:pPr>
        <w:spacing w:line="269" w:lineRule="auto"/>
        <w:sectPr>
          <w:footerReference w:type="default" r:id="rId111"/>
          <w:pgSz w:w="10489" w:h="14741"/>
          <w:pgMar w:top="679" w:right="489" w:bottom="734" w:left="1140" w:header="0" w:footer="552" w:gutter="0"/>
        </w:sectPr>
        <w:rPr/>
      </w:pPr>
    </w:p>
    <w:p>
      <w:pPr>
        <w:spacing w:before="78" w:line="215" w:lineRule="auto"/>
        <w:rPr>
          <w:rFonts w:ascii="Microsoft YaHei" w:hAnsi="Microsoft YaHei" w:eastAsia="Microsoft YaHei" w:cs="Microsoft YaHei"/>
          <w:sz w:val="18"/>
          <w:szCs w:val="18"/>
        </w:rPr>
      </w:pPr>
      <w:r>
        <w:drawing>
          <wp:anchor distT="0" distB="0" distL="0" distR="0" simplePos="0" relativeHeight="251926528" behindDoc="1" locked="0" layoutInCell="1" allowOverlap="1">
            <wp:simplePos x="0" y="0"/>
            <wp:positionH relativeFrom="column">
              <wp:posOffset>108299</wp:posOffset>
            </wp:positionH>
            <wp:positionV relativeFrom="paragraph">
              <wp:posOffset>79371</wp:posOffset>
            </wp:positionV>
            <wp:extent cx="83329" cy="46985"/>
            <wp:effectExtent l="0" t="0" r="0" b="0"/>
            <wp:wrapNone/>
            <wp:docPr id="174" name="IM 174"/>
            <wp:cNvGraphicFramePr/>
            <a:graphic>
              <a:graphicData uri="http://schemas.openxmlformats.org/drawingml/2006/picture">
                <pic:pic>
                  <pic:nvPicPr>
                    <pic:cNvPr id="174" name="IM 174"/>
                    <pic:cNvPicPr/>
                  </pic:nvPicPr>
                  <pic:blipFill>
                    <a:blip r:embed="rId115"/>
                    <a:stretch>
                      <a:fillRect/>
                    </a:stretch>
                  </pic:blipFill>
                  <pic:spPr>
                    <a:xfrm rot="0">
                      <a:off x="0" y="0"/>
                      <a:ext cx="83329" cy="46985"/>
                    </a:xfrm>
                    <a:prstGeom prst="rect">
                      <a:avLst/>
                    </a:prstGeom>
                  </pic:spPr>
                </pic:pic>
              </a:graphicData>
            </a:graphic>
          </wp:anchor>
        </w:drawing>
      </w:r>
      <w:r>
        <w:drawing>
          <wp:anchor distT="0" distB="0" distL="0" distR="0" simplePos="0" relativeHeight="251925504" behindDoc="1" locked="0" layoutInCell="1" allowOverlap="1">
            <wp:simplePos x="0" y="0"/>
            <wp:positionH relativeFrom="column">
              <wp:posOffset>38548</wp:posOffset>
            </wp:positionH>
            <wp:positionV relativeFrom="paragraph">
              <wp:posOffset>120488</wp:posOffset>
            </wp:positionV>
            <wp:extent cx="153080" cy="75618"/>
            <wp:effectExtent l="0" t="0" r="0" b="0"/>
            <wp:wrapNone/>
            <wp:docPr id="176" name="IM 176"/>
            <wp:cNvGraphicFramePr/>
            <a:graphic>
              <a:graphicData uri="http://schemas.openxmlformats.org/drawingml/2006/picture">
                <pic:pic>
                  <pic:nvPicPr>
                    <pic:cNvPr id="176" name="IM 176"/>
                    <pic:cNvPicPr/>
                  </pic:nvPicPr>
                  <pic:blipFill>
                    <a:blip r:embed="rId116"/>
                    <a:stretch>
                      <a:fillRect/>
                    </a:stretch>
                  </pic:blipFill>
                  <pic:spPr>
                    <a:xfrm rot="0">
                      <a:off x="0" y="0"/>
                      <a:ext cx="153080" cy="75618"/>
                    </a:xfrm>
                    <a:prstGeom prst="rect">
                      <a:avLst/>
                    </a:prstGeom>
                  </pic:spPr>
                </pic:pic>
              </a:graphicData>
            </a:graphic>
          </wp:anchor>
        </w:drawing>
      </w:r>
      <w:r>
        <w:pict>
          <v:shape id="_x0000_s220" style="position:absolute;margin-left:110.941pt;margin-top:608.986pt;mso-position-vertical-relative:page;mso-position-horizontal-relative:page;width:5.35pt;height:9.15pt;z-index:251929600;" o:allowincell="f" filled="false" strokecolor="#939598" strokeweight="2.00pt" coordsize="106,182" coordorigin="0,0" path="m88,7l18,175e">
            <v:stroke joinstyle="miter" miterlimit="10"/>
          </v:shape>
        </w:pict>
      </w:r>
      <w:r>
        <w:drawing>
          <wp:anchor distT="0" distB="0" distL="0" distR="0" simplePos="0" relativeHeight="251932672" behindDoc="0" locked="0" layoutInCell="0" allowOverlap="1">
            <wp:simplePos x="0" y="0"/>
            <wp:positionH relativeFrom="page">
              <wp:posOffset>1362861</wp:posOffset>
            </wp:positionH>
            <wp:positionV relativeFrom="page">
              <wp:posOffset>7534749</wp:posOffset>
            </wp:positionV>
            <wp:extent cx="253860" cy="306260"/>
            <wp:effectExtent l="0" t="0" r="0" b="0"/>
            <wp:wrapNone/>
            <wp:docPr id="178" name="IM 178"/>
            <wp:cNvGraphicFramePr/>
            <a:graphic>
              <a:graphicData uri="http://schemas.openxmlformats.org/drawingml/2006/picture">
                <pic:pic>
                  <pic:nvPicPr>
                    <pic:cNvPr id="178" name="IM 178"/>
                    <pic:cNvPicPr/>
                  </pic:nvPicPr>
                  <pic:blipFill>
                    <a:blip r:embed="rId117"/>
                    <a:stretch>
                      <a:fillRect/>
                    </a:stretch>
                  </pic:blipFill>
                  <pic:spPr>
                    <a:xfrm rot="0">
                      <a:off x="0" y="0"/>
                      <a:ext cx="253860" cy="306260"/>
                    </a:xfrm>
                    <a:prstGeom prst="rect">
                      <a:avLst/>
                    </a:prstGeom>
                  </pic:spPr>
                </pic:pic>
              </a:graphicData>
            </a:graphic>
          </wp:anchor>
        </w:drawing>
      </w:r>
      <w:r>
        <w:pict>
          <v:group id="_x0000_s222" style="position:absolute;margin-left:57.0525pt;margin-top:593.122pt;mso-position-vertical-relative:page;mso-position-horizontal-relative:page;width:262.1pt;height:4.9pt;z-index:-251388928;" o:allowincell="f" filled="false" stroked="false" coordsize="5242,98" coordorigin="0,0">
            <v:shape id="_x0000_s224" style="position:absolute;left:0;top:0;width:1049;height:98;" filled="false" strokecolor="#939598" strokeweight="2.00pt" coordsize="1049,98" coordorigin="0,0" path="m12,82l87,20l1048,20e">
              <v:stroke joinstyle="miter" miterlimit="10"/>
            </v:shape>
            <v:shape id="_x0000_s226" style="position:absolute;left:1261;top:35;width:3981;height:20;" filled="false" strokecolor="#939598" strokeweight="1.00pt" coordsize="3981,20" coordorigin="0,0" path="m0,10l3980,10e">
              <v:stroke joinstyle="miter" miterlimit="10"/>
            </v:shape>
          </v:group>
        </w:pict>
      </w:r>
      <w:r>
        <w:pict>
          <v:shape id="_x0000_s228" style="position:absolute;margin-left:117.181pt;margin-top:595.192pt;mso-position-vertical-relative:page;mso-position-horizontal-relative:page;width:3.45pt;height:5.5pt;z-index:251931648;" o:allowincell="f" filled="false" strokecolor="#939598" strokeweight="1.00pt" coordsize="69,110" coordorigin="0,0" path="m8,105l59,4e">
            <v:stroke joinstyle="miter" miterlimit="10"/>
          </v:shape>
        </w:pict>
      </w:r>
      <w:r>
        <w:pict>
          <v:group id="_x0000_s230" style="position:absolute;margin-left:62.0677pt;margin-top:616.387pt;mso-position-vertical-relative:page;mso-position-horizontal-relative:page;width:259.95pt;height:2.4pt;z-index:-251387904;" o:allowincell="f" filled="false" stroked="false" coordsize="5199,48" coordorigin="0,0">
            <v:shape id="_x0000_s232" style="position:absolute;left:0;top:7;width:995;height:40;" filled="false" strokecolor="#939598" strokeweight="2.00pt" coordsize="995,40" coordorigin="0,0" path="m995,20l0,20e">
              <v:stroke joinstyle="miter" miterlimit="10"/>
            </v:shape>
            <v:shape id="_x0000_s234" style="position:absolute;left:1286;top:0;width:3912;height:20;" filled="false" strokecolor="#939598" strokeweight="1.00pt" coordsize="3912,20" coordorigin="0,0" path="m3911,10l0,10e">
              <v:stroke joinstyle="miter" miterlimit="10"/>
            </v:shape>
          </v:group>
        </w:pict>
      </w:r>
      <w:r>
        <w:rPr>
          <w:rFonts w:ascii="Microsoft YaHei" w:hAnsi="Microsoft YaHei" w:eastAsia="Microsoft YaHei" w:cs="Microsoft YaHei"/>
          <w:sz w:val="18"/>
          <w:szCs w:val="18"/>
          <w:color w:val="D9D9D9"/>
          <w:position w:val="-5"/>
        </w:rPr>
        <w:drawing>
          <wp:inline distT="0" distB="0" distL="0" distR="0">
            <wp:extent cx="369303" cy="250002"/>
            <wp:effectExtent l="0" t="0" r="0" b="0"/>
            <wp:docPr id="180" name="IM 180"/>
            <wp:cNvGraphicFramePr/>
            <a:graphic>
              <a:graphicData uri="http://schemas.openxmlformats.org/drawingml/2006/picture">
                <pic:pic>
                  <pic:nvPicPr>
                    <pic:cNvPr id="180" name="IM 180"/>
                    <pic:cNvPicPr/>
                  </pic:nvPicPr>
                  <pic:blipFill>
                    <a:blip r:embed="rId118"/>
                    <a:stretch>
                      <a:fillRect/>
                    </a:stretch>
                  </pic:blipFill>
                  <pic:spPr>
                    <a:xfrm rot="0">
                      <a:off x="0" y="0"/>
                      <a:ext cx="369303" cy="250002"/>
                    </a:xfrm>
                    <a:prstGeom prst="rect">
                      <a:avLst/>
                    </a:prstGeom>
                  </pic:spPr>
                </pic:pic>
              </a:graphicData>
            </a:graphic>
          </wp:inline>
        </w:drawing>
      </w:r>
      <w:r>
        <w:rPr>
          <w:rFonts w:ascii="Microsoft YaHei" w:hAnsi="Microsoft YaHei" w:eastAsia="Microsoft YaHei" w:cs="Microsoft YaHei"/>
          <w:sz w:val="18"/>
          <w:szCs w:val="18"/>
          <w:color w:val="D9D9D9"/>
          <w:spacing w:val="49"/>
        </w:rPr>
        <w:t xml:space="preserve"> </w:t>
      </w:r>
      <w:r>
        <w:rPr>
          <w:rFonts w:ascii="Microsoft YaHei" w:hAnsi="Microsoft YaHei" w:eastAsia="Microsoft YaHei" w:cs="Microsoft YaHei"/>
          <w:sz w:val="18"/>
          <w:szCs w:val="18"/>
          <w:color w:val="D9D9D9"/>
          <w:spacing w:val="2"/>
        </w:rPr>
        <w:t>数据治理</w:t>
      </w:r>
      <w:r>
        <w:rPr>
          <w:rFonts w:ascii="Microsoft YaHei" w:hAnsi="Microsoft YaHei" w:eastAsia="Microsoft YaHei" w:cs="Microsoft YaHei"/>
          <w:sz w:val="18"/>
          <w:szCs w:val="18"/>
          <w:color w:val="D9D9D9"/>
          <w:spacing w:val="48"/>
          <w:w w:val="101"/>
        </w:rPr>
        <w:t xml:space="preserve"> </w:t>
      </w:r>
      <w:r>
        <w:rPr>
          <w:rFonts w:ascii="Microsoft YaHei" w:hAnsi="Microsoft YaHei" w:eastAsia="Microsoft YaHei" w:cs="Microsoft YaHei"/>
          <w:sz w:val="18"/>
          <w:szCs w:val="18"/>
          <w:color w:val="4B4C4D"/>
          <w:spacing w:val="2"/>
        </w:rPr>
        <w:t>理论、方法与实践</w:t>
      </w:r>
    </w:p>
    <w:p>
      <w:pPr>
        <w:spacing w:line="335" w:lineRule="auto"/>
        <w:rPr>
          <w:rFonts w:ascii="Arial"/>
          <w:sz w:val="21"/>
        </w:rPr>
      </w:pPr>
      <w:r/>
    </w:p>
    <w:p>
      <w:pPr>
        <w:pStyle w:val="BodyText"/>
        <w:ind w:left="578" w:right="3" w:firstLine="1"/>
        <w:spacing w:before="68" w:line="252" w:lineRule="auto"/>
        <w:rPr/>
      </w:pPr>
      <w:r>
        <w:rPr>
          <w:color w:val="231F20"/>
          <w:spacing w:val="2"/>
        </w:rPr>
        <w:t>理的发展趋势，结合数据治理的发展现状，可以更深入地理解数据生产要素的价值维度、</w:t>
      </w:r>
      <w:r>
        <w:rPr>
          <w:color w:val="231F20"/>
          <w:spacing w:val="12"/>
        </w:rPr>
        <w:t xml:space="preserve"> </w:t>
      </w:r>
      <w:r>
        <w:rPr>
          <w:color w:val="231F20"/>
          <w:spacing w:val="-4"/>
        </w:rPr>
        <w:t>价值定位和价值取向。</w:t>
      </w:r>
    </w:p>
    <w:p>
      <w:pPr>
        <w:ind w:left="594"/>
        <w:spacing w:before="203" w:line="207" w:lineRule="auto"/>
        <w:rPr>
          <w:sz w:val="23"/>
          <w:szCs w:val="23"/>
        </w:rPr>
      </w:pPr>
      <w:r>
        <w:rPr>
          <w:rFonts w:ascii="Arial" w:hAnsi="Arial" w:eastAsia="Arial" w:cs="Arial"/>
          <w:sz w:val="23"/>
          <w:szCs w:val="23"/>
          <w:u w:val="single" w:color="76787B"/>
          <w:color w:val="231F20"/>
          <w:spacing w:val="-3"/>
        </w:rPr>
        <w:t>1.4.1</w:t>
      </w:r>
      <w:r>
        <w:rPr>
          <w:rFonts w:ascii="Arial" w:hAnsi="Arial" w:eastAsia="Arial" w:cs="Arial"/>
          <w:sz w:val="23"/>
          <w:szCs w:val="23"/>
          <w:u w:val="single" w:color="76787B"/>
          <w:color w:val="231F20"/>
          <w:spacing w:val="18"/>
        </w:rPr>
        <w:t xml:space="preserve">   </w:t>
      </w:r>
      <w:r>
        <w:rPr>
          <w:rFonts w:ascii="Microsoft YaHei" w:hAnsi="Microsoft YaHei" w:eastAsia="Microsoft YaHei" w:cs="Microsoft YaHei"/>
          <w:sz w:val="23"/>
          <w:szCs w:val="23"/>
          <w:u w:val="single" w:color="76787B"/>
          <w:color w:val="231F20"/>
          <w:spacing w:val="-3"/>
        </w:rPr>
        <w:t>数据治理的发展现状</w:t>
      </w:r>
      <w:r>
        <w:rPr>
          <w:sz w:val="23"/>
          <w:szCs w:val="23"/>
          <w:position w:val="-6"/>
        </w:rPr>
        <w:drawing>
          <wp:inline distT="0" distB="0" distL="0" distR="0">
            <wp:extent cx="92311" cy="187197"/>
            <wp:effectExtent l="0" t="0" r="0" b="0"/>
            <wp:docPr id="182" name="IM 182"/>
            <wp:cNvGraphicFramePr/>
            <a:graphic>
              <a:graphicData uri="http://schemas.openxmlformats.org/drawingml/2006/picture">
                <pic:pic>
                  <pic:nvPicPr>
                    <pic:cNvPr id="182" name="IM 182"/>
                    <pic:cNvPicPr/>
                  </pic:nvPicPr>
                  <pic:blipFill>
                    <a:blip r:embed="rId119"/>
                    <a:stretch>
                      <a:fillRect/>
                    </a:stretch>
                  </pic:blipFill>
                  <pic:spPr>
                    <a:xfrm rot="0">
                      <a:off x="0" y="0"/>
                      <a:ext cx="92311" cy="187197"/>
                    </a:xfrm>
                    <a:prstGeom prst="rect">
                      <a:avLst/>
                    </a:prstGeom>
                  </pic:spPr>
                </pic:pic>
              </a:graphicData>
            </a:graphic>
          </wp:inline>
        </w:drawing>
      </w:r>
    </w:p>
    <w:p>
      <w:pPr>
        <w:pStyle w:val="BodyText"/>
        <w:ind w:left="574" w:right="83" w:firstLine="430"/>
        <w:spacing w:before="179" w:line="263" w:lineRule="auto"/>
        <w:jc w:val="both"/>
        <w:rPr/>
      </w:pPr>
      <w:r>
        <w:rPr>
          <w:color w:val="231F20"/>
          <w:spacing w:val="6"/>
        </w:rPr>
        <w:t>数据治理是释放数据要素价值、推动数据要素市场发展的前提与基础。经过多年发</w:t>
      </w:r>
      <w:r>
        <w:rPr>
          <w:color w:val="231F20"/>
        </w:rPr>
        <w:t xml:space="preserve"> </w:t>
      </w:r>
      <w:r>
        <w:rPr>
          <w:color w:val="231F20"/>
          <w:spacing w:val="6"/>
        </w:rPr>
        <w:t>展，我国数据治理在政务、金融、通信、电力、互联网等领域已经逐步深化落地。</w:t>
      </w:r>
      <w:r>
        <w:rPr>
          <w:color w:val="231F20"/>
          <w:spacing w:val="5"/>
        </w:rPr>
        <w:t>进入</w:t>
      </w:r>
      <w:r>
        <w:rPr>
          <w:color w:val="231F20"/>
        </w:rPr>
        <w:t xml:space="preserve"> </w:t>
      </w:r>
      <w:r>
        <w:rPr>
          <w:rFonts w:ascii="Times New Roman" w:hAnsi="Times New Roman" w:eastAsia="Times New Roman" w:cs="Times New Roman"/>
          <w:color w:val="231F20"/>
          <w:spacing w:val="-1"/>
        </w:rPr>
        <w:t>2022 </w:t>
      </w:r>
      <w:r>
        <w:rPr>
          <w:color w:val="231F20"/>
          <w:spacing w:val="-1"/>
        </w:rPr>
        <w:t>年，数据治理领域面临的新挑战与老问题共同推动着数据治理实践向前发展。</w:t>
      </w:r>
    </w:p>
    <w:p>
      <w:pPr>
        <w:pStyle w:val="BodyText"/>
        <w:ind w:left="571" w:firstLine="433"/>
        <w:spacing w:before="82" w:line="281" w:lineRule="auto"/>
        <w:jc w:val="both"/>
        <w:rPr/>
      </w:pPr>
      <w:r>
        <w:rPr>
          <w:color w:val="231F20"/>
        </w:rPr>
        <w:t>数据治理一直是国内外研究的热点与重点，数据治理已成为网络空间国际治理领域对</w:t>
      </w:r>
      <w:r>
        <w:rPr>
          <w:color w:val="231F20"/>
          <w:spacing w:val="1"/>
        </w:rPr>
        <w:t xml:space="preserve">  </w:t>
      </w:r>
      <w:r>
        <w:rPr>
          <w:color w:val="231F20"/>
        </w:rPr>
        <w:t>话博弈的核心命题之一。国际数据治理的话语对象逐渐从个人数据延伸到非个人数据，这 </w:t>
      </w:r>
      <w:r>
        <w:rPr>
          <w:color w:val="231F20"/>
        </w:rPr>
        <w:t>昭示着世界各国围绕数据的合作与竞争正持续深化。目前以欧美为代表的国际数据治理进 </w:t>
      </w:r>
      <w:r>
        <w:rPr>
          <w:color w:val="231F20"/>
        </w:rPr>
        <w:t>程已然呈现从立法执法到国际博弈的多层次新走向。着眼于欧盟的数据治理思路，作为对 </w:t>
      </w:r>
      <w:r>
        <w:rPr>
          <w:color w:val="231F20"/>
          <w:spacing w:val="-4"/>
        </w:rPr>
        <w:t>欧盟</w:t>
      </w:r>
      <w:r>
        <w:rPr>
          <w:color w:val="231F20"/>
          <w:spacing w:val="-28"/>
        </w:rPr>
        <w:t xml:space="preserve"> </w:t>
      </w:r>
      <w:r>
        <w:rPr>
          <w:rFonts w:ascii="Times New Roman" w:hAnsi="Times New Roman" w:eastAsia="Times New Roman" w:cs="Times New Roman"/>
          <w:color w:val="231F20"/>
          <w:spacing w:val="-4"/>
        </w:rPr>
        <w:t>1995 </w:t>
      </w:r>
      <w:r>
        <w:rPr>
          <w:color w:val="231F20"/>
          <w:spacing w:val="-4"/>
        </w:rPr>
        <w:t>年《个人数据保护指令》（</w:t>
      </w:r>
      <w:r>
        <w:rPr>
          <w:rFonts w:ascii="Times New Roman" w:hAnsi="Times New Roman" w:eastAsia="Times New Roman" w:cs="Times New Roman"/>
          <w:color w:val="231F20"/>
          <w:spacing w:val="-4"/>
        </w:rPr>
        <w:t>Data</w:t>
      </w:r>
      <w:r>
        <w:rPr>
          <w:rFonts w:ascii="Times New Roman" w:hAnsi="Times New Roman" w:eastAsia="Times New Roman" w:cs="Times New Roman"/>
          <w:color w:val="231F20"/>
          <w:spacing w:val="21"/>
          <w:w w:val="101"/>
        </w:rPr>
        <w:t xml:space="preserve"> </w:t>
      </w:r>
      <w:r>
        <w:rPr>
          <w:rFonts w:ascii="Times New Roman" w:hAnsi="Times New Roman" w:eastAsia="Times New Roman" w:cs="Times New Roman"/>
          <w:color w:val="231F20"/>
          <w:spacing w:val="-4"/>
        </w:rPr>
        <w:t>Protection</w:t>
      </w:r>
      <w:r>
        <w:rPr>
          <w:rFonts w:ascii="Times New Roman" w:hAnsi="Times New Roman" w:eastAsia="Times New Roman" w:cs="Times New Roman"/>
          <w:color w:val="231F20"/>
          <w:spacing w:val="20"/>
          <w:w w:val="101"/>
        </w:rPr>
        <w:t xml:space="preserve"> </w:t>
      </w:r>
      <w:r>
        <w:rPr>
          <w:rFonts w:ascii="Times New Roman" w:hAnsi="Times New Roman" w:eastAsia="Times New Roman" w:cs="Times New Roman"/>
          <w:color w:val="231F20"/>
          <w:spacing w:val="-4"/>
        </w:rPr>
        <w:t>Directiv</w:t>
      </w:r>
      <w:r>
        <w:rPr>
          <w:rFonts w:ascii="Times New Roman" w:hAnsi="Times New Roman" w:eastAsia="Times New Roman" w:cs="Times New Roman"/>
          <w:color w:val="231F20"/>
          <w:spacing w:val="-5"/>
        </w:rPr>
        <w:t>e</w:t>
      </w:r>
      <w:r>
        <w:rPr>
          <w:rFonts w:ascii="Times New Roman" w:hAnsi="Times New Roman" w:eastAsia="Times New Roman" w:cs="Times New Roman"/>
          <w:color w:val="231F20"/>
          <w:spacing w:val="-30"/>
        </w:rPr>
        <w:t xml:space="preserve"> </w:t>
      </w:r>
      <w:r>
        <w:rPr>
          <w:color w:val="231F20"/>
          <w:spacing w:val="-5"/>
        </w:rPr>
        <w:t>，</w:t>
      </w:r>
      <w:r>
        <w:rPr>
          <w:rFonts w:ascii="Times New Roman" w:hAnsi="Times New Roman" w:eastAsia="Times New Roman" w:cs="Times New Roman"/>
          <w:color w:val="231F20"/>
          <w:spacing w:val="-5"/>
        </w:rPr>
        <w:t>DPD</w:t>
      </w:r>
      <w:r>
        <w:rPr>
          <w:color w:val="231F20"/>
          <w:spacing w:val="-5"/>
        </w:rPr>
        <w:t>）规范的升级，《通用</w:t>
      </w:r>
      <w:r>
        <w:rPr>
          <w:color w:val="231F20"/>
        </w:rPr>
        <w:t xml:space="preserve">  </w:t>
      </w:r>
      <w:r>
        <w:rPr>
          <w:color w:val="231F20"/>
          <w:spacing w:val="-1"/>
        </w:rPr>
        <w:t>数据保护条例》（</w:t>
      </w:r>
      <w:r>
        <w:rPr>
          <w:rFonts w:ascii="Times New Roman" w:hAnsi="Times New Roman" w:eastAsia="Times New Roman" w:cs="Times New Roman"/>
          <w:color w:val="231F20"/>
          <w:spacing w:val="-1"/>
        </w:rPr>
        <w:t>General</w:t>
      </w:r>
      <w:r>
        <w:rPr>
          <w:rFonts w:ascii="Times New Roman" w:hAnsi="Times New Roman" w:eastAsia="Times New Roman" w:cs="Times New Roman"/>
          <w:color w:val="231F20"/>
          <w:spacing w:val="21"/>
          <w:w w:val="101"/>
        </w:rPr>
        <w:t xml:space="preserve"> </w:t>
      </w:r>
      <w:r>
        <w:rPr>
          <w:rFonts w:ascii="Times New Roman" w:hAnsi="Times New Roman" w:eastAsia="Times New Roman" w:cs="Times New Roman"/>
          <w:color w:val="231F20"/>
          <w:spacing w:val="-1"/>
        </w:rPr>
        <w:t>Data</w:t>
      </w:r>
      <w:r>
        <w:rPr>
          <w:rFonts w:ascii="Times New Roman" w:hAnsi="Times New Roman" w:eastAsia="Times New Roman" w:cs="Times New Roman"/>
          <w:color w:val="231F20"/>
          <w:spacing w:val="21"/>
        </w:rPr>
        <w:t xml:space="preserve"> </w:t>
      </w:r>
      <w:r>
        <w:rPr>
          <w:rFonts w:ascii="Times New Roman" w:hAnsi="Times New Roman" w:eastAsia="Times New Roman" w:cs="Times New Roman"/>
          <w:color w:val="231F20"/>
          <w:spacing w:val="-1"/>
        </w:rPr>
        <w:t>Protection</w:t>
      </w:r>
      <w:r>
        <w:rPr>
          <w:rFonts w:ascii="Times New Roman" w:hAnsi="Times New Roman" w:eastAsia="Times New Roman" w:cs="Times New Roman"/>
          <w:color w:val="231F20"/>
          <w:spacing w:val="20"/>
          <w:w w:val="101"/>
        </w:rPr>
        <w:t xml:space="preserve"> </w:t>
      </w:r>
      <w:r>
        <w:rPr>
          <w:rFonts w:ascii="Times New Roman" w:hAnsi="Times New Roman" w:eastAsia="Times New Roman" w:cs="Times New Roman"/>
          <w:color w:val="231F20"/>
          <w:spacing w:val="-1"/>
        </w:rPr>
        <w:t>Regulation</w:t>
      </w:r>
      <w:r>
        <w:rPr>
          <w:rFonts w:ascii="Times New Roman" w:hAnsi="Times New Roman" w:eastAsia="Times New Roman" w:cs="Times New Roman"/>
          <w:color w:val="231F20"/>
          <w:spacing w:val="-30"/>
        </w:rPr>
        <w:t xml:space="preserve"> </w:t>
      </w:r>
      <w:r>
        <w:rPr>
          <w:color w:val="231F20"/>
          <w:spacing w:val="-1"/>
        </w:rPr>
        <w:t>，</w:t>
      </w:r>
      <w:r>
        <w:rPr>
          <w:rFonts w:ascii="Times New Roman" w:hAnsi="Times New Roman" w:eastAsia="Times New Roman" w:cs="Times New Roman"/>
          <w:color w:val="231F20"/>
          <w:spacing w:val="-1"/>
        </w:rPr>
        <w:t>GDPR</w:t>
      </w:r>
      <w:r>
        <w:rPr>
          <w:color w:val="231F20"/>
          <w:spacing w:val="-1"/>
        </w:rPr>
        <w:t>）在新一代欧盟数据治</w:t>
      </w:r>
      <w:r>
        <w:rPr>
          <w:color w:val="231F20"/>
          <w:spacing w:val="-2"/>
        </w:rPr>
        <w:t>理规范 </w:t>
      </w:r>
      <w:r>
        <w:rPr>
          <w:color w:val="231F20"/>
        </w:rPr>
        <w:t>发展历程中具有里程碑意义，其规范约束更深刻地介入数据治理的全生命周期，进而对于</w:t>
      </w:r>
      <w:r>
        <w:rPr>
          <w:color w:val="231F20"/>
          <w:spacing w:val="7"/>
        </w:rPr>
        <w:t xml:space="preserve">  </w:t>
      </w:r>
      <w:r>
        <w:rPr>
          <w:color w:val="231F20"/>
        </w:rPr>
        <w:t>大数据、云计算以及人工智能等以数据收集、处理为核心要素的新技术应用产生显著的导</w:t>
      </w:r>
      <w:r>
        <w:rPr>
          <w:color w:val="231F20"/>
          <w:spacing w:val="6"/>
        </w:rPr>
        <w:t xml:space="preserve">  </w:t>
      </w:r>
      <w:r>
        <w:rPr>
          <w:color w:val="231F20"/>
        </w:rPr>
        <w:t>向意义，同时也对全球数据治理的未来走向产生了现实的深刻影响。英国历届政府和议会 </w:t>
      </w:r>
      <w:r>
        <w:rPr>
          <w:color w:val="231F20"/>
        </w:rPr>
        <w:t>自</w:t>
      </w:r>
      <w:r>
        <w:rPr>
          <w:color w:val="231F20"/>
          <w:spacing w:val="-44"/>
        </w:rPr>
        <w:t xml:space="preserve"> </w:t>
      </w:r>
      <w:r>
        <w:rPr>
          <w:rFonts w:ascii="Times New Roman" w:hAnsi="Times New Roman" w:eastAsia="Times New Roman" w:cs="Times New Roman"/>
          <w:color w:val="231F20"/>
        </w:rPr>
        <w:t>20 </w:t>
      </w:r>
      <w:r>
        <w:rPr>
          <w:color w:val="231F20"/>
        </w:rPr>
        <w:t>世纪</w:t>
      </w:r>
      <w:r>
        <w:rPr>
          <w:color w:val="231F20"/>
          <w:spacing w:val="-44"/>
        </w:rPr>
        <w:t xml:space="preserve"> </w:t>
      </w:r>
      <w:r>
        <w:rPr>
          <w:rFonts w:ascii="Times New Roman" w:hAnsi="Times New Roman" w:eastAsia="Times New Roman" w:cs="Times New Roman"/>
          <w:color w:val="231F20"/>
        </w:rPr>
        <w:t>90 </w:t>
      </w:r>
      <w:r>
        <w:rPr>
          <w:color w:val="231F20"/>
        </w:rPr>
        <w:t>年代起，颁布出台了大量的法律、法规和行政命令，逐步形成了一套相对完 </w:t>
      </w:r>
      <w:r>
        <w:rPr>
          <w:color w:val="231F20"/>
        </w:rPr>
        <w:t>整的数据治理政策体系，其内容涉及个人数据（隐私）保护、信息公开（自由）、政府数 </w:t>
      </w:r>
      <w:r>
        <w:rPr>
          <w:color w:val="231F20"/>
          <w:spacing w:val="3"/>
        </w:rPr>
        <w:t>据开放、国家信息基础设施、信息资源管理与再利用、</w:t>
      </w:r>
      <w:r>
        <w:rPr>
          <w:color w:val="231F20"/>
          <w:spacing w:val="2"/>
        </w:rPr>
        <w:t>电子政务和网络信息安全等方面，</w:t>
      </w:r>
      <w:r>
        <w:rPr>
          <w:color w:val="231F20"/>
        </w:rPr>
        <w:t xml:space="preserve"> </w:t>
      </w:r>
      <w:r>
        <w:rPr>
          <w:color w:val="231F20"/>
          <w:spacing w:val="-6"/>
        </w:rPr>
        <w:t>比如， </w:t>
      </w:r>
      <w:r>
        <w:rPr>
          <w:rFonts w:ascii="Times New Roman" w:hAnsi="Times New Roman" w:eastAsia="Times New Roman" w:cs="Times New Roman"/>
          <w:color w:val="231F20"/>
          <w:spacing w:val="-6"/>
        </w:rPr>
        <w:t>2018 </w:t>
      </w:r>
      <w:r>
        <w:rPr>
          <w:color w:val="231F20"/>
          <w:spacing w:val="-6"/>
        </w:rPr>
        <w:t>年英国议会通过的新版《数据保护法》（</w:t>
      </w:r>
      <w:r>
        <w:rPr>
          <w:rFonts w:ascii="Times New Roman" w:hAnsi="Times New Roman" w:eastAsia="Times New Roman" w:cs="Times New Roman"/>
          <w:color w:val="231F20"/>
          <w:spacing w:val="-6"/>
        </w:rPr>
        <w:t>Data Protection Act 2018</w:t>
      </w:r>
      <w:r>
        <w:rPr>
          <w:rFonts w:ascii="Times New Roman" w:hAnsi="Times New Roman" w:eastAsia="Times New Roman" w:cs="Times New Roman"/>
          <w:color w:val="231F20"/>
          <w:spacing w:val="-30"/>
        </w:rPr>
        <w:t xml:space="preserve"> </w:t>
      </w:r>
      <w:r>
        <w:rPr>
          <w:color w:val="231F20"/>
          <w:spacing w:val="-6"/>
        </w:rPr>
        <w:t>，</w:t>
      </w:r>
      <w:r>
        <w:rPr>
          <w:rFonts w:ascii="Times New Roman" w:hAnsi="Times New Roman" w:eastAsia="Times New Roman" w:cs="Times New Roman"/>
          <w:color w:val="231F20"/>
          <w:spacing w:val="-6"/>
        </w:rPr>
        <w:t>D</w:t>
      </w:r>
      <w:r>
        <w:rPr>
          <w:rFonts w:ascii="Times New Roman" w:hAnsi="Times New Roman" w:eastAsia="Times New Roman" w:cs="Times New Roman"/>
          <w:color w:val="231F20"/>
          <w:spacing w:val="-7"/>
        </w:rPr>
        <w:t>PA 2018</w:t>
      </w:r>
      <w:r>
        <w:rPr>
          <w:color w:val="231F20"/>
          <w:spacing w:val="-7"/>
        </w:rPr>
        <w:t>）、</w:t>
      </w:r>
      <w:r>
        <w:rPr>
          <w:color w:val="231F20"/>
        </w:rPr>
        <w:t xml:space="preserve"> </w:t>
      </w:r>
      <w:r>
        <w:rPr>
          <w:rFonts w:ascii="Times New Roman" w:hAnsi="Times New Roman" w:eastAsia="Times New Roman" w:cs="Times New Roman"/>
          <w:color w:val="231F20"/>
          <w:spacing w:val="-3"/>
        </w:rPr>
        <w:t>2000 </w:t>
      </w:r>
      <w:r>
        <w:rPr>
          <w:color w:val="231F20"/>
          <w:spacing w:val="-3"/>
        </w:rPr>
        <w:t>年颁布的《信息自由法》（</w:t>
      </w:r>
      <w:r>
        <w:rPr>
          <w:rFonts w:ascii="Times New Roman" w:hAnsi="Times New Roman" w:eastAsia="Times New Roman" w:cs="Times New Roman"/>
          <w:color w:val="231F20"/>
          <w:spacing w:val="-3"/>
        </w:rPr>
        <w:t>Freedom</w:t>
      </w:r>
      <w:r>
        <w:rPr>
          <w:rFonts w:ascii="Times New Roman" w:hAnsi="Times New Roman" w:eastAsia="Times New Roman" w:cs="Times New Roman"/>
          <w:color w:val="231F20"/>
          <w:spacing w:val="35"/>
          <w:w w:val="101"/>
        </w:rPr>
        <w:t xml:space="preserve"> </w:t>
      </w:r>
      <w:r>
        <w:rPr>
          <w:rFonts w:ascii="Times New Roman" w:hAnsi="Times New Roman" w:eastAsia="Times New Roman" w:cs="Times New Roman"/>
          <w:color w:val="231F20"/>
          <w:spacing w:val="-3"/>
        </w:rPr>
        <w:t>of Information Act</w:t>
      </w:r>
      <w:r>
        <w:rPr>
          <w:rFonts w:ascii="Times New Roman" w:hAnsi="Times New Roman" w:eastAsia="Times New Roman" w:cs="Times New Roman"/>
          <w:color w:val="231F20"/>
          <w:spacing w:val="-30"/>
        </w:rPr>
        <w:t xml:space="preserve"> </w:t>
      </w:r>
      <w:r>
        <w:rPr>
          <w:color w:val="231F20"/>
          <w:spacing w:val="-3"/>
        </w:rPr>
        <w:t>，</w:t>
      </w:r>
      <w:r>
        <w:rPr>
          <w:rFonts w:ascii="Times New Roman" w:hAnsi="Times New Roman" w:eastAsia="Times New Roman" w:cs="Times New Roman"/>
          <w:color w:val="231F20"/>
          <w:spacing w:val="-3"/>
        </w:rPr>
        <w:t>FOIA</w:t>
      </w:r>
      <w:r>
        <w:rPr>
          <w:color w:val="231F20"/>
          <w:spacing w:val="-3"/>
        </w:rPr>
        <w:t>）和</w:t>
      </w:r>
      <w:r>
        <w:rPr>
          <w:color w:val="231F20"/>
          <w:spacing w:val="-31"/>
        </w:rPr>
        <w:t xml:space="preserve"> </w:t>
      </w:r>
      <w:r>
        <w:rPr>
          <w:rFonts w:ascii="Times New Roman" w:hAnsi="Times New Roman" w:eastAsia="Times New Roman" w:cs="Times New Roman"/>
          <w:color w:val="231F20"/>
          <w:spacing w:val="-3"/>
        </w:rPr>
        <w:t>2012 </w:t>
      </w:r>
      <w:r>
        <w:rPr>
          <w:color w:val="231F20"/>
          <w:spacing w:val="-3"/>
        </w:rPr>
        <w:t>年颁布的《自</w:t>
      </w:r>
      <w:r>
        <w:rPr>
          <w:color w:val="231F20"/>
        </w:rPr>
        <w:t xml:space="preserve">  </w:t>
      </w:r>
      <w:r>
        <w:rPr>
          <w:color w:val="231F20"/>
          <w:spacing w:val="-2"/>
        </w:rPr>
        <w:t>由保护法》（</w:t>
      </w:r>
      <w:r>
        <w:rPr>
          <w:rFonts w:ascii="Times New Roman" w:hAnsi="Times New Roman" w:eastAsia="Times New Roman" w:cs="Times New Roman"/>
          <w:color w:val="231F20"/>
          <w:spacing w:val="-2"/>
        </w:rPr>
        <w:t>Protection</w:t>
      </w:r>
      <w:r>
        <w:rPr>
          <w:rFonts w:ascii="Times New Roman" w:hAnsi="Times New Roman" w:eastAsia="Times New Roman" w:cs="Times New Roman"/>
          <w:color w:val="231F20"/>
          <w:spacing w:val="24"/>
          <w:w w:val="101"/>
        </w:rPr>
        <w:t xml:space="preserve"> </w:t>
      </w:r>
      <w:r>
        <w:rPr>
          <w:rFonts w:ascii="Times New Roman" w:hAnsi="Times New Roman" w:eastAsia="Times New Roman" w:cs="Times New Roman"/>
          <w:color w:val="231F20"/>
          <w:spacing w:val="-2"/>
        </w:rPr>
        <w:t>of Fr</w:t>
      </w:r>
      <w:r>
        <w:rPr>
          <w:rFonts w:ascii="Times New Roman" w:hAnsi="Times New Roman" w:eastAsia="Times New Roman" w:cs="Times New Roman"/>
          <w:color w:val="231F20"/>
          <w:spacing w:val="-3"/>
        </w:rPr>
        <w:t>eedom Act</w:t>
      </w:r>
      <w:r>
        <w:rPr>
          <w:rFonts w:ascii="Times New Roman" w:hAnsi="Times New Roman" w:eastAsia="Times New Roman" w:cs="Times New Roman"/>
          <w:color w:val="231F20"/>
          <w:spacing w:val="-30"/>
        </w:rPr>
        <w:t xml:space="preserve"> </w:t>
      </w:r>
      <w:r>
        <w:rPr>
          <w:color w:val="231F20"/>
          <w:spacing w:val="-3"/>
        </w:rPr>
        <w:t>，</w:t>
      </w:r>
      <w:r>
        <w:rPr>
          <w:rFonts w:ascii="Times New Roman" w:hAnsi="Times New Roman" w:eastAsia="Times New Roman" w:cs="Times New Roman"/>
          <w:color w:val="231F20"/>
          <w:spacing w:val="-3"/>
        </w:rPr>
        <w:t>PFA</w:t>
      </w:r>
      <w:r>
        <w:rPr>
          <w:color w:val="231F20"/>
          <w:spacing w:val="-3"/>
        </w:rPr>
        <w:t>）等。美国在数据治理进程中不仅出台了具有</w:t>
      </w:r>
      <w:r>
        <w:rPr>
          <w:color w:val="231F20"/>
        </w:rPr>
        <w:t xml:space="preserve">  </w:t>
      </w:r>
      <w:r>
        <w:rPr>
          <w:color w:val="231F20"/>
          <w:spacing w:val="-2"/>
        </w:rPr>
        <w:t>代表性的法治政策，如《加利福尼亚州消费者隐私保护法案》（</w:t>
      </w:r>
      <w:r>
        <w:rPr>
          <w:rFonts w:ascii="Times New Roman" w:hAnsi="Times New Roman" w:eastAsia="Times New Roman" w:cs="Times New Roman"/>
          <w:color w:val="231F20"/>
          <w:spacing w:val="-2"/>
        </w:rPr>
        <w:t>Californi</w:t>
      </w:r>
      <w:r>
        <w:rPr>
          <w:rFonts w:ascii="Times New Roman" w:hAnsi="Times New Roman" w:eastAsia="Times New Roman" w:cs="Times New Roman"/>
          <w:color w:val="231F20"/>
          <w:spacing w:val="-3"/>
        </w:rPr>
        <w:t>a Consumer Privacy  </w:t>
      </w:r>
      <w:r>
        <w:rPr>
          <w:rFonts w:ascii="Times New Roman" w:hAnsi="Times New Roman" w:eastAsia="Times New Roman" w:cs="Times New Roman"/>
          <w:color w:val="231F20"/>
        </w:rPr>
        <w:t>Act</w:t>
      </w:r>
      <w:r>
        <w:rPr>
          <w:rFonts w:ascii="Times New Roman" w:hAnsi="Times New Roman" w:eastAsia="Times New Roman" w:cs="Times New Roman"/>
          <w:color w:val="231F20"/>
          <w:spacing w:val="24"/>
          <w:w w:val="101"/>
        </w:rPr>
        <w:t xml:space="preserve"> </w:t>
      </w:r>
      <w:r>
        <w:rPr>
          <w:rFonts w:ascii="Times New Roman" w:hAnsi="Times New Roman" w:eastAsia="Times New Roman" w:cs="Times New Roman"/>
          <w:color w:val="231F20"/>
        </w:rPr>
        <w:t>of 2018</w:t>
      </w:r>
      <w:r>
        <w:rPr>
          <w:rFonts w:ascii="Times New Roman" w:hAnsi="Times New Roman" w:eastAsia="Times New Roman" w:cs="Times New Roman"/>
          <w:color w:val="231F20"/>
          <w:spacing w:val="-30"/>
        </w:rPr>
        <w:t xml:space="preserve"> </w:t>
      </w:r>
      <w:r>
        <w:rPr>
          <w:color w:val="231F20"/>
        </w:rPr>
        <w:t>，</w:t>
      </w:r>
      <w:r>
        <w:rPr>
          <w:rFonts w:ascii="Times New Roman" w:hAnsi="Times New Roman" w:eastAsia="Times New Roman" w:cs="Times New Roman"/>
          <w:color w:val="231F20"/>
        </w:rPr>
        <w:t>CCPA</w:t>
      </w:r>
      <w:r>
        <w:rPr>
          <w:color w:val="231F20"/>
          <w:spacing w:val="-56"/>
        </w:rPr>
        <w:t>），</w:t>
      </w:r>
      <w:r>
        <w:rPr>
          <w:color w:val="231F20"/>
        </w:rPr>
        <w:t>而且以数据治理为支点驱动数字化城市发展，将纽约市打造成为世 </w:t>
      </w:r>
      <w:r>
        <w:rPr>
          <w:color w:val="231F20"/>
          <w:spacing w:val="6"/>
        </w:rPr>
        <w:t>界级数据平台，不断扩大数据开放程度，创新开放手段，鼓励公众参与城</w:t>
      </w:r>
      <w:r>
        <w:rPr>
          <w:color w:val="231F20"/>
          <w:spacing w:val="5"/>
        </w:rPr>
        <w:t>市数据治理过 </w:t>
      </w:r>
      <w:r>
        <w:rPr>
          <w:color w:val="231F20"/>
          <w:spacing w:val="-2"/>
        </w:rPr>
        <w:t>程，为城市提供优质的公共服务。</w:t>
      </w:r>
    </w:p>
    <w:p>
      <w:pPr>
        <w:pStyle w:val="BodyText"/>
        <w:ind w:left="577" w:firstLine="426"/>
        <w:spacing w:before="74" w:line="274" w:lineRule="auto"/>
        <w:jc w:val="both"/>
        <w:rPr/>
      </w:pPr>
      <w:r>
        <w:rPr>
          <w:color w:val="231F20"/>
          <w:spacing w:val="3"/>
        </w:rPr>
        <w:t>我国官方首次正式提出“数据”的概念是在</w:t>
      </w:r>
      <w:r>
        <w:rPr>
          <w:color w:val="231F20"/>
          <w:spacing w:val="-46"/>
        </w:rPr>
        <w:t xml:space="preserve"> </w:t>
      </w:r>
      <w:r>
        <w:rPr>
          <w:rFonts w:ascii="Times New Roman" w:hAnsi="Times New Roman" w:eastAsia="Times New Roman" w:cs="Times New Roman"/>
          <w:color w:val="231F20"/>
          <w:spacing w:val="3"/>
        </w:rPr>
        <w:t>2014</w:t>
      </w:r>
      <w:r>
        <w:rPr>
          <w:rFonts w:ascii="Times New Roman" w:hAnsi="Times New Roman" w:eastAsia="Times New Roman" w:cs="Times New Roman"/>
          <w:color w:val="231F20"/>
          <w:spacing w:val="2"/>
        </w:rPr>
        <w:t xml:space="preserve"> </w:t>
      </w:r>
      <w:r>
        <w:rPr>
          <w:color w:val="231F20"/>
          <w:spacing w:val="2"/>
        </w:rPr>
        <w:t>年政府工作报告中。此后，其重要</w:t>
      </w:r>
      <w:r>
        <w:rPr>
          <w:color w:val="231F20"/>
        </w:rPr>
        <w:t xml:space="preserve">  </w:t>
      </w:r>
      <w:r>
        <w:rPr>
          <w:color w:val="231F20"/>
        </w:rPr>
        <w:t>性为各级政府所关注。近年来，国家、相关部门和地方政府在数据治理的政策制定、机构</w:t>
      </w:r>
      <w:r>
        <w:rPr>
          <w:color w:val="231F20"/>
          <w:spacing w:val="2"/>
        </w:rPr>
        <w:t xml:space="preserve">  </w:t>
      </w:r>
      <w:r>
        <w:rPr>
          <w:color w:val="231F20"/>
          <w:spacing w:val="2"/>
        </w:rPr>
        <w:t>设置和专项行动方面取得了显著成效。我国的数据治理政策主要围绕数据基础设施建设、</w:t>
      </w:r>
      <w:r>
        <w:rPr>
          <w:color w:val="231F20"/>
          <w:spacing w:val="18"/>
        </w:rPr>
        <w:t xml:space="preserve"> </w:t>
      </w:r>
      <w:r>
        <w:rPr>
          <w:color w:val="231F20"/>
          <w:spacing w:val="2"/>
        </w:rPr>
        <w:t>开放共享、示范应用、要素市场、安全保障等方面</w:t>
      </w:r>
      <w:r>
        <w:rPr>
          <w:color w:val="231F20"/>
          <w:spacing w:val="1"/>
        </w:rPr>
        <w:t>进行顶层设计，</w:t>
      </w:r>
      <w:r>
        <w:rPr>
          <w:color w:val="231F20"/>
          <w:spacing w:val="-58"/>
        </w:rPr>
        <w:t xml:space="preserve"> </w:t>
      </w:r>
      <w:r>
        <w:rPr>
          <w:color w:val="231F20"/>
          <w:spacing w:val="1"/>
        </w:rPr>
        <w:t>自</w:t>
      </w:r>
      <w:r>
        <w:rPr>
          <w:color w:val="231F20"/>
          <w:spacing w:val="-48"/>
        </w:rPr>
        <w:t xml:space="preserve"> </w:t>
      </w:r>
      <w:r>
        <w:rPr>
          <w:rFonts w:ascii="Times New Roman" w:hAnsi="Times New Roman" w:eastAsia="Times New Roman" w:cs="Times New Roman"/>
          <w:color w:val="231F20"/>
          <w:spacing w:val="1"/>
        </w:rPr>
        <w:t>2018 </w:t>
      </w:r>
      <w:r>
        <w:rPr>
          <w:color w:val="231F20"/>
          <w:spacing w:val="1"/>
        </w:rPr>
        <w:t>年省级机构改 </w:t>
      </w:r>
      <w:r>
        <w:rPr>
          <w:color w:val="231F20"/>
          <w:spacing w:val="6"/>
        </w:rPr>
        <w:t>革以来，各地纷纷以不同方式设立或调整合并数据治理机构</w:t>
      </w:r>
      <w:r>
        <w:rPr>
          <w:color w:val="231F20"/>
          <w:spacing w:val="5"/>
        </w:rPr>
        <w:t>，形成了以中央主管部门牵 </w:t>
      </w:r>
      <w:r>
        <w:rPr>
          <w:color w:val="231F20"/>
          <w:spacing w:val="-3"/>
        </w:rPr>
        <w:t>头、行业部门专业管理的组织架构。</w:t>
      </w:r>
    </w:p>
    <w:p>
      <w:pPr>
        <w:ind w:left="2011"/>
        <w:spacing w:before="249"/>
        <w:rPr>
          <w:sz w:val="22"/>
          <w:szCs w:val="22"/>
        </w:rPr>
      </w:pPr>
      <w:r>
        <w:pict>
          <v:shape id="_x0000_s236" style="position:absolute;margin-left:27.4883pt;margin-top:13.5264pt;mso-position-vertical-relative:text;mso-position-horizontal-relative:text;width:57.2pt;height:23.25pt;z-index:251930624;" filled="false" stroked="false" type="#_x0000_t202">
            <v:fill on="false"/>
            <v:stroke on="false"/>
            <v:path/>
            <v:imagedata o:title=""/>
            <o:lock v:ext="edit" aspectratio="false"/>
            <v:textbox inset="0mm,0mm,0mm,0mm">
              <w:txbxContent>
                <w:p>
                  <w:pPr>
                    <w:ind w:left="20"/>
                    <w:spacing w:before="20" w:line="226"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231F20"/>
                      <w:position w:val="-17"/>
                    </w:rPr>
                    <w:drawing>
                      <wp:inline distT="0" distB="0" distL="0" distR="0">
                        <wp:extent cx="76974" cy="269590"/>
                        <wp:effectExtent l="0" t="0" r="0" b="0"/>
                        <wp:docPr id="184" name="IM 184"/>
                        <wp:cNvGraphicFramePr/>
                        <a:graphic>
                          <a:graphicData uri="http://schemas.openxmlformats.org/drawingml/2006/picture">
                            <pic:pic>
                              <pic:nvPicPr>
                                <pic:cNvPr id="184" name="IM 184"/>
                                <pic:cNvPicPr/>
                              </pic:nvPicPr>
                              <pic:blipFill>
                                <a:blip r:embed="rId120"/>
                                <a:stretch>
                                  <a:fillRect/>
                                </a:stretch>
                              </pic:blipFill>
                              <pic:spPr>
                                <a:xfrm rot="0">
                                  <a:off x="0" y="0"/>
                                  <a:ext cx="76974" cy="269590"/>
                                </a:xfrm>
                                <a:prstGeom prst="rect">
                                  <a:avLst/>
                                </a:prstGeom>
                              </pic:spPr>
                            </pic:pic>
                          </a:graphicData>
                        </a:graphic>
                      </wp:inline>
                    </w:drawing>
                  </w:r>
                  <w:r>
                    <w:rPr>
                      <w:shd w:val="clear" w:fill="BCBDC0"/>
                      <w:rFonts w:ascii="Microsoft YaHei" w:hAnsi="Microsoft YaHei" w:eastAsia="Microsoft YaHei" w:cs="Microsoft YaHei"/>
                      <w:sz w:val="22"/>
                      <w:szCs w:val="22"/>
                      <w:color w:val="231F20"/>
                      <w:spacing w:val="9"/>
                    </w:rPr>
                    <w:t>案例 1.1</w:t>
                  </w:r>
                  <w:r>
                    <w:rPr>
                      <w:shd w:val="clear" w:fill="BCBDC0"/>
                      <w:rFonts w:ascii="Microsoft YaHei" w:hAnsi="Microsoft YaHei" w:eastAsia="Microsoft YaHei" w:cs="Microsoft YaHei"/>
                      <w:sz w:val="22"/>
                      <w:szCs w:val="22"/>
                      <w:color w:val="231F20"/>
                    </w:rPr>
                    <w:t xml:space="preserve">  </w:t>
                  </w:r>
                </w:p>
              </w:txbxContent>
            </v:textbox>
          </v:shape>
        </w:pict>
      </w:r>
      <w:r>
        <w:rPr>
          <w:rFonts w:ascii="Microsoft YaHei" w:hAnsi="Microsoft YaHei" w:eastAsia="Microsoft YaHei" w:cs="Microsoft YaHei"/>
          <w:sz w:val="22"/>
          <w:szCs w:val="22"/>
          <w:color w:val="231F20"/>
          <w:spacing w:val="-1"/>
        </w:rPr>
        <w:t>江西省农村信用社联合社数据治理实践 </w:t>
      </w:r>
      <w:r>
        <w:rPr>
          <w:sz w:val="22"/>
          <w:szCs w:val="22"/>
          <w:position w:val="-14"/>
        </w:rPr>
        <w:drawing>
          <wp:inline distT="0" distB="0" distL="0" distR="0">
            <wp:extent cx="121120" cy="278537"/>
            <wp:effectExtent l="0" t="0" r="0" b="0"/>
            <wp:docPr id="186" name="IM 186"/>
            <wp:cNvGraphicFramePr/>
            <a:graphic>
              <a:graphicData uri="http://schemas.openxmlformats.org/drawingml/2006/picture">
                <pic:pic>
                  <pic:nvPicPr>
                    <pic:cNvPr id="186" name="IM 186"/>
                    <pic:cNvPicPr/>
                  </pic:nvPicPr>
                  <pic:blipFill>
                    <a:blip r:embed="rId121"/>
                    <a:stretch>
                      <a:fillRect/>
                    </a:stretch>
                  </pic:blipFill>
                  <pic:spPr>
                    <a:xfrm rot="0">
                      <a:off x="0" y="0"/>
                      <a:ext cx="121120" cy="278537"/>
                    </a:xfrm>
                    <a:prstGeom prst="rect">
                      <a:avLst/>
                    </a:prstGeom>
                  </pic:spPr>
                </pic:pic>
              </a:graphicData>
            </a:graphic>
          </wp:inline>
        </w:drawing>
      </w:r>
    </w:p>
    <w:p>
      <w:pPr>
        <w:spacing w:line="285" w:lineRule="auto"/>
        <w:rPr>
          <w:rFonts w:ascii="Arial"/>
          <w:sz w:val="21"/>
        </w:rPr>
      </w:pPr>
      <w:r/>
    </w:p>
    <w:p>
      <w:pPr>
        <w:pStyle w:val="BodyText"/>
        <w:ind w:left="591" w:right="75" w:firstLine="408"/>
        <w:spacing w:before="69" w:line="260" w:lineRule="auto"/>
        <w:rPr/>
      </w:pPr>
      <w:r>
        <w:rPr>
          <w:rFonts w:ascii="Times New Roman" w:hAnsi="Times New Roman" w:eastAsia="Times New Roman" w:cs="Times New Roman"/>
          <w:color w:val="231F20"/>
          <w:spacing w:val="-2"/>
        </w:rPr>
        <w:t>2022 </w:t>
      </w:r>
      <w:r>
        <w:rPr>
          <w:color w:val="231F20"/>
          <w:spacing w:val="-2"/>
        </w:rPr>
        <w:t>年，人民银行印发《金融科技发展规划（</w:t>
      </w:r>
      <w:r>
        <w:rPr>
          <w:rFonts w:ascii="Times New Roman" w:hAnsi="Times New Roman" w:eastAsia="Times New Roman" w:cs="Times New Roman"/>
          <w:color w:val="231F20"/>
          <w:spacing w:val="-2"/>
        </w:rPr>
        <w:t>2022</w:t>
      </w:r>
      <w:r>
        <w:rPr>
          <w:color w:val="231F20"/>
          <w:spacing w:val="-2"/>
        </w:rPr>
        <w:t>—</w:t>
      </w:r>
      <w:r>
        <w:rPr>
          <w:rFonts w:ascii="Times New Roman" w:hAnsi="Times New Roman" w:eastAsia="Times New Roman" w:cs="Times New Roman"/>
          <w:color w:val="231F20"/>
          <w:spacing w:val="-2"/>
        </w:rPr>
        <w:t>2025 </w:t>
      </w:r>
      <w:r>
        <w:rPr>
          <w:color w:val="231F20"/>
          <w:spacing w:val="-2"/>
        </w:rPr>
        <w:t>年）》，银保监会发布《关</w:t>
      </w:r>
      <w:r>
        <w:rPr>
          <w:color w:val="231F20"/>
          <w:spacing w:val="4"/>
        </w:rPr>
        <w:t xml:space="preserve"> </w:t>
      </w:r>
      <w:r>
        <w:rPr>
          <w:color w:val="231F20"/>
          <w:spacing w:val="-3"/>
        </w:rPr>
        <w:t>于银行业保险业数字化转型的指导意见》，金融数字化发展迈入“积</w:t>
      </w:r>
      <w:r>
        <w:rPr>
          <w:color w:val="231F20"/>
          <w:spacing w:val="-4"/>
        </w:rPr>
        <w:t>厚成势”全新阶段。</w:t>
      </w:r>
    </w:p>
    <w:p>
      <w:pPr>
        <w:pStyle w:val="BodyText"/>
        <w:ind w:left="1012"/>
        <w:spacing w:before="56" w:line="235" w:lineRule="auto"/>
        <w:rPr/>
      </w:pPr>
      <w:r>
        <w:rPr>
          <w:color w:val="231F20"/>
          <w:spacing w:val="2"/>
        </w:rPr>
        <w:t>为解决数字化转型发展瓶颈，构建高质量发展的新动力源，从</w:t>
      </w:r>
      <w:r>
        <w:rPr>
          <w:color w:val="231F20"/>
          <w:spacing w:val="-42"/>
        </w:rPr>
        <w:t xml:space="preserve"> </w:t>
      </w:r>
      <w:r>
        <w:rPr>
          <w:rFonts w:ascii="Times New Roman" w:hAnsi="Times New Roman" w:eastAsia="Times New Roman" w:cs="Times New Roman"/>
          <w:color w:val="231F20"/>
          <w:spacing w:val="2"/>
        </w:rPr>
        <w:t>2019 </w:t>
      </w:r>
      <w:r>
        <w:rPr>
          <w:color w:val="231F20"/>
          <w:spacing w:val="2"/>
        </w:rPr>
        <w:t>年开始，江西省</w:t>
      </w:r>
    </w:p>
    <w:p>
      <w:pPr>
        <w:spacing w:line="235" w:lineRule="auto"/>
        <w:sectPr>
          <w:footerReference w:type="default" r:id="rId114"/>
          <w:pgSz w:w="10489" w:h="14741"/>
          <w:pgMar w:top="482" w:right="1058" w:bottom="734" w:left="564" w:header="0" w:footer="552" w:gutter="0"/>
        </w:sectPr>
        <w:rPr/>
      </w:pPr>
    </w:p>
    <w:p>
      <w:pPr>
        <w:spacing w:before="41" w:line="204" w:lineRule="auto"/>
        <w:jc w:val="right"/>
        <w:rPr>
          <w:sz w:val="18"/>
          <w:szCs w:val="18"/>
        </w:rPr>
      </w:pPr>
      <w:r>
        <w:pict>
          <v:rect id="_x0000_s238" style="position:absolute;margin-left:56.2677pt;margin-top:541.909pt;mso-position-vertical-relative:page;mso-position-horizontal-relative:page;width:401.15pt;height:0.9pt;z-index:251961344;" o:allowincell="f" fillcolor="#939598" filled="true" stroked="false"/>
        </w:pict>
      </w:r>
      <w:r>
        <w:pict>
          <v:rect id="_x0000_s240" style="position:absolute;margin-left:55.8427pt;margin-top:462.137pt;mso-position-vertical-relative:page;mso-position-horizontal-relative:page;width:0.85pt;height:80.2pt;z-index:251962368;" o:allowincell="f" fillcolor="#939598" filled="true" stroked="false"/>
        </w:pict>
      </w:r>
      <w:r>
        <w:drawing>
          <wp:anchor distT="0" distB="0" distL="0" distR="0" simplePos="0" relativeHeight="251960320" behindDoc="1" locked="0" layoutInCell="0" allowOverlap="1">
            <wp:simplePos x="0" y="0"/>
            <wp:positionH relativeFrom="page">
              <wp:posOffset>853758</wp:posOffset>
            </wp:positionH>
            <wp:positionV relativeFrom="page">
              <wp:posOffset>5850838</wp:posOffset>
            </wp:positionV>
            <wp:extent cx="5071835" cy="63310"/>
            <wp:effectExtent l="0" t="0" r="0" b="0"/>
            <wp:wrapNone/>
            <wp:docPr id="188" name="IM 188"/>
            <wp:cNvGraphicFramePr/>
            <a:graphic>
              <a:graphicData uri="http://schemas.openxmlformats.org/drawingml/2006/picture">
                <pic:pic>
                  <pic:nvPicPr>
                    <pic:cNvPr id="188" name="IM 188"/>
                    <pic:cNvPicPr/>
                  </pic:nvPicPr>
                  <pic:blipFill>
                    <a:blip r:embed="rId123"/>
                    <a:stretch>
                      <a:fillRect/>
                    </a:stretch>
                  </pic:blipFill>
                  <pic:spPr>
                    <a:xfrm rot="0">
                      <a:off x="0" y="0"/>
                      <a:ext cx="5071835" cy="63310"/>
                    </a:xfrm>
                    <a:prstGeom prst="rect">
                      <a:avLst/>
                    </a:prstGeom>
                  </pic:spPr>
                </pic:pic>
              </a:graphicData>
            </a:graphic>
          </wp:anchor>
        </w:drawing>
      </w:r>
      <w:r>
        <w:rPr>
          <w:rFonts w:ascii="Microsoft YaHei" w:hAnsi="Microsoft YaHei" w:eastAsia="Microsoft YaHei" w:cs="Microsoft YaHei"/>
          <w:sz w:val="18"/>
          <w:szCs w:val="18"/>
          <w:color w:val="4B4C4D"/>
          <w:spacing w:val="-2"/>
        </w:rPr>
        <w:t>第 </w:t>
      </w:r>
      <w:r>
        <w:rPr>
          <w:rFonts w:ascii="Arial" w:hAnsi="Arial" w:eastAsia="Arial" w:cs="Arial"/>
          <w:sz w:val="18"/>
          <w:szCs w:val="18"/>
          <w:b/>
          <w:bCs/>
          <w:color w:val="4B4C4D"/>
          <w:spacing w:val="-2"/>
        </w:rPr>
        <w:t>1 </w:t>
      </w:r>
      <w:r>
        <w:rPr>
          <w:rFonts w:ascii="Microsoft YaHei" w:hAnsi="Microsoft YaHei" w:eastAsia="Microsoft YaHei" w:cs="Microsoft YaHei"/>
          <w:sz w:val="18"/>
          <w:szCs w:val="18"/>
          <w:color w:val="4B4C4D"/>
          <w:spacing w:val="-2"/>
        </w:rPr>
        <w:t>章</w:t>
      </w:r>
      <w:r>
        <w:rPr>
          <w:rFonts w:ascii="Microsoft YaHei" w:hAnsi="Microsoft YaHei" w:eastAsia="Microsoft YaHei" w:cs="Microsoft YaHei"/>
          <w:sz w:val="18"/>
          <w:szCs w:val="18"/>
          <w:color w:val="4B4C4D"/>
          <w:spacing w:val="9"/>
        </w:rPr>
        <w:t xml:space="preserve">   </w:t>
      </w:r>
      <w:r>
        <w:rPr>
          <w:rFonts w:ascii="Microsoft YaHei" w:hAnsi="Microsoft YaHei" w:eastAsia="Microsoft YaHei" w:cs="Microsoft YaHei"/>
          <w:sz w:val="18"/>
          <w:szCs w:val="18"/>
          <w:color w:val="4B4C4D"/>
          <w:spacing w:val="-2"/>
        </w:rPr>
        <w:t>数据与数据治理  </w:t>
      </w:r>
      <w:r>
        <w:rPr>
          <w:sz w:val="18"/>
          <w:szCs w:val="18"/>
          <w:position w:val="-2"/>
        </w:rPr>
        <w:drawing>
          <wp:inline distT="0" distB="0" distL="0" distR="0">
            <wp:extent cx="339153" cy="105117"/>
            <wp:effectExtent l="0" t="0" r="0" b="0"/>
            <wp:docPr id="190" name="IM 190"/>
            <wp:cNvGraphicFramePr/>
            <a:graphic>
              <a:graphicData uri="http://schemas.openxmlformats.org/drawingml/2006/picture">
                <pic:pic>
                  <pic:nvPicPr>
                    <pic:cNvPr id="190" name="IM 190"/>
                    <pic:cNvPicPr/>
                  </pic:nvPicPr>
                  <pic:blipFill>
                    <a:blip r:embed="rId124"/>
                    <a:stretch>
                      <a:fillRect/>
                    </a:stretch>
                  </pic:blipFill>
                  <pic:spPr>
                    <a:xfrm rot="0">
                      <a:off x="0" y="0"/>
                      <a:ext cx="339153" cy="105117"/>
                    </a:xfrm>
                    <a:prstGeom prst="rect">
                      <a:avLst/>
                    </a:prstGeom>
                  </pic:spPr>
                </pic:pic>
              </a:graphicData>
            </a:graphic>
          </wp:inline>
        </w:drawing>
      </w:r>
    </w:p>
    <w:p>
      <w:pPr>
        <w:spacing w:line="306" w:lineRule="auto"/>
        <w:rPr>
          <w:rFonts w:ascii="Arial"/>
          <w:sz w:val="21"/>
        </w:rPr>
      </w:pPr>
      <w:r/>
    </w:p>
    <w:p>
      <w:pPr>
        <w:pStyle w:val="BodyText"/>
        <w:ind w:left="21" w:right="653" w:firstLine="2"/>
        <w:spacing w:before="68" w:line="260" w:lineRule="auto"/>
        <w:rPr/>
      </w:pPr>
      <w:r>
        <w:rPr>
          <w:color w:val="231F20"/>
        </w:rPr>
        <w:t>农村信用社联合社以“夯实数据基础，提升数据质量，深化数据应用”为目标，持续实施</w:t>
      </w:r>
      <w:r>
        <w:rPr>
          <w:color w:val="231F20"/>
          <w:spacing w:val="12"/>
        </w:rPr>
        <w:t xml:space="preserve"> </w:t>
      </w:r>
      <w:r>
        <w:rPr>
          <w:color w:val="231F20"/>
          <w:spacing w:val="-4"/>
        </w:rPr>
        <w:t>数据治理项目。</w:t>
      </w:r>
    </w:p>
    <w:p>
      <w:pPr>
        <w:pStyle w:val="BodyText"/>
        <w:ind w:left="21" w:right="434" w:firstLine="315"/>
        <w:spacing w:before="53" w:line="278" w:lineRule="auto"/>
        <w:rPr/>
      </w:pPr>
      <w:r>
        <w:rPr>
          <w:color w:val="231F20"/>
          <w:spacing w:val="9"/>
        </w:rPr>
        <w:t>“兵马未动，架构先行”，江西省农村信用社</w:t>
      </w:r>
      <w:r>
        <w:rPr>
          <w:color w:val="231F20"/>
          <w:spacing w:val="8"/>
        </w:rPr>
        <w:t>联合社数据治理采取了“</w:t>
      </w:r>
      <w:r>
        <w:rPr>
          <w:rFonts w:ascii="Times New Roman" w:hAnsi="Times New Roman" w:eastAsia="Times New Roman" w:cs="Times New Roman"/>
          <w:color w:val="231F20"/>
          <w:spacing w:val="8"/>
        </w:rPr>
        <w:t>1+X </w:t>
      </w:r>
      <w:r>
        <w:rPr>
          <w:color w:val="231F20"/>
          <w:spacing w:val="8"/>
        </w:rPr>
        <w:t>联邦制”</w:t>
      </w:r>
      <w:r>
        <w:rPr>
          <w:color w:val="231F20"/>
        </w:rPr>
        <w:t xml:space="preserve"> </w:t>
      </w:r>
      <w:r>
        <w:rPr>
          <w:color w:val="231F20"/>
          <w:spacing w:val="-1"/>
        </w:rPr>
        <w:t>的组织架构模式，以江西省农村信用社联合社领导及相</w:t>
      </w:r>
      <w:r>
        <w:rPr>
          <w:color w:val="231F20"/>
          <w:spacing w:val="-2"/>
        </w:rPr>
        <w:t>关部门负责人组成的数据治理委员   </w:t>
      </w:r>
      <w:r>
        <w:rPr>
          <w:color w:val="231F20"/>
          <w:spacing w:val="1"/>
        </w:rPr>
        <w:t>会作为决策管理层，负责各数据治理领域重大事项</w:t>
      </w:r>
      <w:r>
        <w:rPr>
          <w:color w:val="231F20"/>
        </w:rPr>
        <w:t>的审议及监督评价；在委员会下设立数   </w:t>
      </w:r>
      <w:r>
        <w:rPr>
          <w:color w:val="231F20"/>
        </w:rPr>
        <w:t>据治理办公室作为组织协调层，负责牵头数据治理各领域工作的开展；江西省农村信用社</w:t>
      </w:r>
      <w:r>
        <w:rPr>
          <w:color w:val="231F20"/>
          <w:spacing w:val="6"/>
        </w:rPr>
        <w:t xml:space="preserve">   </w:t>
      </w:r>
      <w:r>
        <w:rPr>
          <w:color w:val="231F20"/>
          <w:spacing w:val="6"/>
        </w:rPr>
        <w:t>联合社相关部门和辖内各成员行作为数据治理的工作执行层，设立专职的数据治理综合</w:t>
      </w:r>
      <w:r>
        <w:rPr>
          <w:color w:val="231F20"/>
          <w:spacing w:val="1"/>
        </w:rPr>
        <w:t xml:space="preserve">   </w:t>
      </w:r>
      <w:r>
        <w:rPr>
          <w:color w:val="231F20"/>
          <w:spacing w:val="3"/>
        </w:rPr>
        <w:t>岗，负责数据治理各项工作的具体落实。通过建立自上而下、协调一致的数据治理体系，</w:t>
      </w:r>
      <w:r>
        <w:rPr>
          <w:color w:val="231F20"/>
          <w:spacing w:val="6"/>
        </w:rPr>
        <w:t xml:space="preserve">  </w:t>
      </w:r>
      <w:r>
        <w:rPr>
          <w:color w:val="231F20"/>
          <w:spacing w:val="-1"/>
        </w:rPr>
        <w:t>明确相关方工作职责，为数据治理有序推进提供强大的组织保障。</w:t>
      </w:r>
    </w:p>
    <w:p>
      <w:pPr>
        <w:pStyle w:val="BodyText"/>
        <w:ind w:left="19" w:right="575" w:firstLine="435"/>
        <w:spacing w:before="53" w:line="279" w:lineRule="auto"/>
        <w:rPr/>
      </w:pPr>
      <w:r>
        <w:rPr>
          <w:color w:val="231F20"/>
          <w:spacing w:val="6"/>
        </w:rPr>
        <w:t>项目周期内，江西省农村信用社联合社在全行范</w:t>
      </w:r>
      <w:r>
        <w:rPr>
          <w:color w:val="231F20"/>
          <w:spacing w:val="5"/>
        </w:rPr>
        <w:t>围内建立了自上而下的数据治理组 </w:t>
      </w:r>
      <w:r>
        <w:rPr>
          <w:color w:val="231F20"/>
        </w:rPr>
        <w:t>织架构，制定了一系列的数据管理相关制度，为数据治理各项活动提供了强有力的组织保 </w:t>
      </w:r>
      <w:r>
        <w:rPr>
          <w:color w:val="231F20"/>
          <w:spacing w:val="2"/>
        </w:rPr>
        <w:t>障；制定数据标准，夯实数据基础；开展专项治理，提升数据质量；搭建数据管控平台，</w:t>
      </w:r>
      <w:r>
        <w:rPr>
          <w:color w:val="231F20"/>
          <w:spacing w:val="18"/>
        </w:rPr>
        <w:t xml:space="preserve"> </w:t>
      </w:r>
      <w:r>
        <w:rPr>
          <w:color w:val="231F20"/>
        </w:rPr>
        <w:t>提升数据治理工作自动化程度。同时，在数据应用方面积极推进，提升了监管报送自动取 </w:t>
      </w:r>
      <w:r>
        <w:rPr>
          <w:color w:val="231F20"/>
        </w:rPr>
        <w:t>数率，并以零售业务管理平台为抓手，释放数据治理价值，取得了一定成效，实现了江西</w:t>
      </w:r>
      <w:r>
        <w:rPr>
          <w:color w:val="231F20"/>
          <w:spacing w:val="2"/>
        </w:rPr>
        <w:t xml:space="preserve">  </w:t>
      </w:r>
      <w:r>
        <w:rPr>
          <w:color w:val="231F20"/>
        </w:rPr>
        <w:t>省农村信用社联合社数据治理从无到有、从有到优的转变，为推进数字化转型打下了坚实</w:t>
      </w:r>
      <w:r>
        <w:rPr>
          <w:color w:val="231F20"/>
          <w:spacing w:val="4"/>
        </w:rPr>
        <w:t xml:space="preserve">  </w:t>
      </w:r>
      <w:r>
        <w:rPr>
          <w:color w:val="231F20"/>
          <w:spacing w:val="-7"/>
        </w:rPr>
        <w:t>基础。</w:t>
      </w:r>
    </w:p>
    <w:p>
      <w:pPr>
        <w:pStyle w:val="BodyText"/>
        <w:ind w:left="23" w:right="563" w:firstLine="312"/>
        <w:spacing w:before="46" w:line="278" w:lineRule="auto"/>
        <w:rPr/>
      </w:pPr>
      <w:r>
        <w:rPr>
          <w:color w:val="231F20"/>
          <w:spacing w:val="-3"/>
        </w:rPr>
        <w:t>“工欲善其事，必先利其器。”项目期内，江西省农村信用社联合社搭建了数据管控平</w:t>
      </w:r>
      <w:r>
        <w:rPr>
          <w:color w:val="231F20"/>
          <w:spacing w:val="9"/>
        </w:rPr>
        <w:t xml:space="preserve">  </w:t>
      </w:r>
      <w:r>
        <w:rPr>
          <w:color w:val="231F20"/>
        </w:rPr>
        <w:t>台作为数据治理工具，实现了对元数据、数据标准、数据质量的全方位管理，具有元数据</w:t>
      </w:r>
      <w:r>
        <w:rPr>
          <w:color w:val="231F20"/>
          <w:spacing w:val="7"/>
        </w:rPr>
        <w:t xml:space="preserve">  </w:t>
      </w:r>
      <w:r>
        <w:rPr>
          <w:color w:val="231F20"/>
          <w:spacing w:val="3"/>
        </w:rPr>
        <w:t>血缘分析、标准落标检查、数据质量检核等功能，可以将</w:t>
      </w:r>
      <w:r>
        <w:rPr>
          <w:color w:val="231F20"/>
          <w:spacing w:val="2"/>
        </w:rPr>
        <w:t>数据治理中的多种任务线上化、</w:t>
      </w:r>
      <w:r>
        <w:rPr>
          <w:color w:val="231F20"/>
        </w:rPr>
        <w:t xml:space="preserve"> </w:t>
      </w:r>
      <w:r>
        <w:rPr>
          <w:color w:val="231F20"/>
          <w:spacing w:val="2"/>
        </w:rPr>
        <w:t>流程化，减少了繁复人工操作，极大地便利了数据治理相关领域的各种类型任务。同时，</w:t>
      </w:r>
      <w:r>
        <w:rPr>
          <w:color w:val="231F20"/>
          <w:spacing w:val="15"/>
        </w:rPr>
        <w:t xml:space="preserve"> </w:t>
      </w:r>
      <w:r>
        <w:rPr>
          <w:color w:val="231F20"/>
        </w:rPr>
        <w:t>为充分释放数据治理价值，建设了零售业务管理平台，搭建了数据集市，形成了客户标签</w:t>
      </w:r>
      <w:r>
        <w:rPr>
          <w:color w:val="231F20"/>
          <w:spacing w:val="8"/>
        </w:rPr>
        <w:t xml:space="preserve">  </w:t>
      </w:r>
      <w:r>
        <w:rPr>
          <w:color w:val="231F20"/>
        </w:rPr>
        <w:t>体系，构建了大数据分析模型，赋能经营管理和业务拓展，打造互联网时代零售服务内生</w:t>
      </w:r>
      <w:r>
        <w:rPr>
          <w:color w:val="231F20"/>
          <w:spacing w:val="4"/>
        </w:rPr>
        <w:t xml:space="preserve">  </w:t>
      </w:r>
      <w:r>
        <w:rPr>
          <w:color w:val="231F20"/>
          <w:spacing w:val="-3"/>
        </w:rPr>
        <w:t>增力，充分发挥了数据价值。</w:t>
      </w:r>
    </w:p>
    <w:p>
      <w:pPr>
        <w:ind w:left="1"/>
        <w:spacing w:before="213" w:line="191" w:lineRule="auto"/>
        <w:rPr>
          <w:rFonts w:ascii="Microsoft YaHei" w:hAnsi="Microsoft YaHei" w:eastAsia="Microsoft YaHei" w:cs="Microsoft YaHei"/>
          <w:sz w:val="21"/>
          <w:szCs w:val="21"/>
        </w:rPr>
      </w:pPr>
      <w:r>
        <w:drawing>
          <wp:anchor distT="0" distB="0" distL="0" distR="0" simplePos="0" relativeHeight="251958272" behindDoc="1" locked="0" layoutInCell="1" allowOverlap="1">
            <wp:simplePos x="0" y="0"/>
            <wp:positionH relativeFrom="column">
              <wp:posOffset>36151</wp:posOffset>
            </wp:positionH>
            <wp:positionV relativeFrom="paragraph">
              <wp:posOffset>188413</wp:posOffset>
            </wp:positionV>
            <wp:extent cx="255435" cy="221221"/>
            <wp:effectExtent l="0" t="0" r="0" b="0"/>
            <wp:wrapNone/>
            <wp:docPr id="192" name="IM 192"/>
            <wp:cNvGraphicFramePr/>
            <a:graphic>
              <a:graphicData uri="http://schemas.openxmlformats.org/drawingml/2006/picture">
                <pic:pic>
                  <pic:nvPicPr>
                    <pic:cNvPr id="192" name="IM 192"/>
                    <pic:cNvPicPr/>
                  </pic:nvPicPr>
                  <pic:blipFill>
                    <a:blip r:embed="rId125"/>
                    <a:stretch>
                      <a:fillRect/>
                    </a:stretch>
                  </pic:blipFill>
                  <pic:spPr>
                    <a:xfrm rot="0">
                      <a:off x="0" y="0"/>
                      <a:ext cx="255435" cy="221221"/>
                    </a:xfrm>
                    <a:prstGeom prst="rect">
                      <a:avLst/>
                    </a:prstGeom>
                  </pic:spPr>
                </pic:pic>
              </a:graphicData>
            </a:graphic>
          </wp:anchor>
        </w:drawing>
      </w:r>
      <w:r>
        <w:rPr>
          <w:rFonts w:ascii="Microsoft YaHei" w:hAnsi="Microsoft YaHei" w:eastAsia="Microsoft YaHei" w:cs="Microsoft YaHei"/>
          <w:sz w:val="21"/>
          <w:szCs w:val="21"/>
          <w:color w:val="231F20"/>
          <w:position w:val="-9"/>
        </w:rPr>
        <w:drawing>
          <wp:inline distT="0" distB="0" distL="0" distR="0">
            <wp:extent cx="350511" cy="155974"/>
            <wp:effectExtent l="0" t="0" r="0" b="0"/>
            <wp:docPr id="194" name="IM 194"/>
            <wp:cNvGraphicFramePr/>
            <a:graphic>
              <a:graphicData uri="http://schemas.openxmlformats.org/drawingml/2006/picture">
                <pic:pic>
                  <pic:nvPicPr>
                    <pic:cNvPr id="194" name="IM 194"/>
                    <pic:cNvPicPr/>
                  </pic:nvPicPr>
                  <pic:blipFill>
                    <a:blip r:embed="rId126"/>
                    <a:stretch>
                      <a:fillRect/>
                    </a:stretch>
                  </pic:blipFill>
                  <pic:spPr>
                    <a:xfrm rot="0">
                      <a:off x="0" y="0"/>
                      <a:ext cx="350511" cy="155974"/>
                    </a:xfrm>
                    <a:prstGeom prst="rect">
                      <a:avLst/>
                    </a:prstGeom>
                  </pic:spPr>
                </pic:pic>
              </a:graphicData>
            </a:graphic>
          </wp:inline>
        </w:drawing>
      </w:r>
      <w:r>
        <w:rPr>
          <w:rFonts w:ascii="Microsoft YaHei" w:hAnsi="Microsoft YaHei" w:eastAsia="Microsoft YaHei" w:cs="Microsoft YaHei"/>
          <w:sz w:val="21"/>
          <w:szCs w:val="21"/>
          <w:color w:val="231F20"/>
          <w:spacing w:val="47"/>
        </w:rPr>
        <w:t xml:space="preserve"> </w:t>
      </w:r>
      <w:r>
        <w:rPr>
          <w:rFonts w:ascii="Microsoft YaHei" w:hAnsi="Microsoft YaHei" w:eastAsia="Microsoft YaHei" w:cs="Microsoft YaHei"/>
          <w:sz w:val="21"/>
          <w:szCs w:val="21"/>
          <w:color w:val="231F20"/>
          <w:spacing w:val="-6"/>
        </w:rPr>
        <w:t>案例思考题：</w:t>
      </w:r>
    </w:p>
    <w:p>
      <w:pPr>
        <w:ind w:firstLine="459"/>
        <w:spacing w:before="60" w:line="172" w:lineRule="exact"/>
        <w:rPr/>
      </w:pPr>
      <w:r>
        <w:rPr>
          <w:position w:val="-3"/>
        </w:rPr>
        <w:drawing>
          <wp:inline distT="0" distB="0" distL="0" distR="0">
            <wp:extent cx="312324" cy="109118"/>
            <wp:effectExtent l="0" t="0" r="0" b="0"/>
            <wp:docPr id="196" name="IM 196"/>
            <wp:cNvGraphicFramePr/>
            <a:graphic>
              <a:graphicData uri="http://schemas.openxmlformats.org/drawingml/2006/picture">
                <pic:pic>
                  <pic:nvPicPr>
                    <pic:cNvPr id="196" name="IM 196"/>
                    <pic:cNvPicPr/>
                  </pic:nvPicPr>
                  <pic:blipFill>
                    <a:blip r:embed="rId127"/>
                    <a:stretch>
                      <a:fillRect/>
                    </a:stretch>
                  </pic:blipFill>
                  <pic:spPr>
                    <a:xfrm rot="0">
                      <a:off x="0" y="0"/>
                      <a:ext cx="312324" cy="109118"/>
                    </a:xfrm>
                    <a:prstGeom prst="rect">
                      <a:avLst/>
                    </a:prstGeom>
                  </pic:spPr>
                </pic:pic>
              </a:graphicData>
            </a:graphic>
          </wp:inline>
        </w:drawing>
      </w:r>
    </w:p>
    <w:p>
      <w:pPr>
        <w:pStyle w:val="BodyText"/>
        <w:ind w:left="580"/>
        <w:spacing w:before="137" w:line="185" w:lineRule="auto"/>
        <w:rPr/>
      </w:pPr>
      <w:r>
        <w:rPr>
          <w:rFonts w:ascii="Times New Roman" w:hAnsi="Times New Roman" w:eastAsia="Times New Roman" w:cs="Times New Roman"/>
          <w:color w:val="231F20"/>
          <w:spacing w:val="-5"/>
        </w:rPr>
        <w:t>1. </w:t>
      </w:r>
      <w:r>
        <w:rPr>
          <w:color w:val="231F20"/>
          <w:spacing w:val="-5"/>
        </w:rPr>
        <w:t>江西省农村信用社联合社开展了哪些具体的数据治理工作？</w:t>
      </w:r>
    </w:p>
    <w:p>
      <w:pPr>
        <w:pStyle w:val="BodyText"/>
        <w:ind w:left="559"/>
        <w:spacing w:before="114" w:line="185" w:lineRule="auto"/>
        <w:rPr/>
      </w:pPr>
      <w:r>
        <w:rPr>
          <w:rFonts w:ascii="Times New Roman" w:hAnsi="Times New Roman" w:eastAsia="Times New Roman" w:cs="Times New Roman"/>
          <w:color w:val="231F20"/>
        </w:rPr>
        <w:t>2.</w:t>
      </w:r>
      <w:r>
        <w:rPr>
          <w:rFonts w:ascii="Times New Roman" w:hAnsi="Times New Roman" w:eastAsia="Times New Roman" w:cs="Times New Roman"/>
          <w:color w:val="231F20"/>
          <w:spacing w:val="13"/>
        </w:rPr>
        <w:t xml:space="preserve"> </w:t>
      </w:r>
      <w:r>
        <w:rPr>
          <w:color w:val="231F20"/>
        </w:rPr>
        <w:t>结合当前数据治理发展现状，江西省农村信用社联合</w:t>
      </w:r>
      <w:r>
        <w:rPr>
          <w:color w:val="231F20"/>
          <w:spacing w:val="-1"/>
        </w:rPr>
        <w:t>社数据治理工作有哪些值得</w:t>
      </w:r>
      <w:r>
        <w:rPr>
          <w:color w:val="231F20"/>
        </w:rPr>
        <w:t xml:space="preserve">  </w:t>
      </w:r>
    </w:p>
    <w:p>
      <w:pPr>
        <w:pStyle w:val="BodyText"/>
        <w:ind w:left="138"/>
        <w:spacing w:before="113" w:line="220" w:lineRule="auto"/>
        <w:rPr/>
      </w:pPr>
      <w:r>
        <w:rPr>
          <w:color w:val="231F20"/>
          <w:spacing w:val="-17"/>
        </w:rPr>
        <w:t>借鉴的地方？</w:t>
      </w:r>
    </w:p>
    <w:p>
      <w:pPr>
        <w:spacing w:line="438" w:lineRule="auto"/>
        <w:rPr>
          <w:rFonts w:ascii="Arial"/>
          <w:sz w:val="21"/>
        </w:rPr>
      </w:pPr>
      <w:r/>
    </w:p>
    <w:p>
      <w:pPr>
        <w:ind w:left="42"/>
        <w:spacing w:before="99" w:line="201" w:lineRule="auto"/>
        <w:rPr>
          <w:sz w:val="23"/>
          <w:szCs w:val="23"/>
        </w:rPr>
      </w:pPr>
      <w:r>
        <w:rPr>
          <w:rFonts w:ascii="Arial" w:hAnsi="Arial" w:eastAsia="Arial" w:cs="Arial"/>
          <w:sz w:val="23"/>
          <w:szCs w:val="23"/>
          <w:u w:val="single" w:color="76787B"/>
          <w:color w:val="231F20"/>
          <w:spacing w:val="-2"/>
        </w:rPr>
        <w:t>1.4.2</w:t>
      </w:r>
      <w:r>
        <w:rPr>
          <w:rFonts w:ascii="Arial" w:hAnsi="Arial" w:eastAsia="Arial" w:cs="Arial"/>
          <w:sz w:val="23"/>
          <w:szCs w:val="23"/>
          <w:u w:val="single" w:color="76787B"/>
          <w:color w:val="231F20"/>
          <w:spacing w:val="14"/>
        </w:rPr>
        <w:t xml:space="preserve">   </w:t>
      </w:r>
      <w:r>
        <w:rPr>
          <w:rFonts w:ascii="Microsoft YaHei" w:hAnsi="Microsoft YaHei" w:eastAsia="Microsoft YaHei" w:cs="Microsoft YaHei"/>
          <w:sz w:val="23"/>
          <w:szCs w:val="23"/>
          <w:u w:val="single" w:color="76787B"/>
          <w:color w:val="231F20"/>
          <w:spacing w:val="-2"/>
        </w:rPr>
        <w:t>数据治理当前面临的问题</w:t>
      </w:r>
      <w:r>
        <w:rPr>
          <w:sz w:val="23"/>
          <w:szCs w:val="23"/>
          <w:position w:val="-7"/>
        </w:rPr>
        <w:drawing>
          <wp:inline distT="0" distB="0" distL="0" distR="0">
            <wp:extent cx="90012" cy="187198"/>
            <wp:effectExtent l="0" t="0" r="0" b="0"/>
            <wp:docPr id="198" name="IM 198"/>
            <wp:cNvGraphicFramePr/>
            <a:graphic>
              <a:graphicData uri="http://schemas.openxmlformats.org/drawingml/2006/picture">
                <pic:pic>
                  <pic:nvPicPr>
                    <pic:cNvPr id="198" name="IM 198"/>
                    <pic:cNvPicPr/>
                  </pic:nvPicPr>
                  <pic:blipFill>
                    <a:blip r:embed="rId128"/>
                    <a:stretch>
                      <a:fillRect/>
                    </a:stretch>
                  </pic:blipFill>
                  <pic:spPr>
                    <a:xfrm rot="0">
                      <a:off x="0" y="0"/>
                      <a:ext cx="90012" cy="187198"/>
                    </a:xfrm>
                    <a:prstGeom prst="rect">
                      <a:avLst/>
                    </a:prstGeom>
                  </pic:spPr>
                </pic:pic>
              </a:graphicData>
            </a:graphic>
          </wp:inline>
        </w:drawing>
      </w:r>
    </w:p>
    <w:p>
      <w:pPr>
        <w:pStyle w:val="BodyText"/>
        <w:ind w:left="29" w:right="658" w:firstLine="446"/>
        <w:spacing w:before="175" w:line="252" w:lineRule="auto"/>
        <w:rPr/>
      </w:pPr>
      <w:r>
        <w:rPr>
          <w:color w:val="231F20"/>
          <w:spacing w:val="-1"/>
        </w:rPr>
        <w:t>由于数据治理的相关理论体系尚未健全，因此数据治理在开展过程中遇到了许多挑战</w:t>
      </w:r>
      <w:r>
        <w:rPr>
          <w:color w:val="231F20"/>
          <w:spacing w:val="13"/>
        </w:rPr>
        <w:t xml:space="preserve"> </w:t>
      </w:r>
      <w:r>
        <w:rPr>
          <w:color w:val="231F20"/>
          <w:spacing w:val="-2"/>
        </w:rPr>
        <w:t>与阻碍，数据治理面对着较多的问题。具体体现在如下几方面。</w:t>
      </w:r>
    </w:p>
    <w:p>
      <w:pPr>
        <w:pStyle w:val="BodyText"/>
        <w:ind w:left="466"/>
        <w:spacing w:before="75" w:line="220" w:lineRule="auto"/>
        <w:rPr/>
      </w:pPr>
      <w:r>
        <w:pict>
          <v:shape id="_x0000_s242" style="position:absolute;margin-left:43.3938pt;margin-top:4.05pt;mso-position-vertical-relative:text;mso-position-horizontal-relative:text;width:51.3pt;height:9.85pt;z-index:-251357184;" filled="false" strokecolor="#231F20" strokeweight="0.17pt" coordsize="1025,197" coordorigin="0,0" path="m108,190l108,176l164,176l164,193l175,187c175,175,174,158,174,136l181,131l169,120l163,128l141,128l141,95l192,95l178,81l169,90l141,90l141,73l148,68l130,59c131,69,131,79,131,90l93,90c94,77,95,65,95,55l164,55l164,64l175,59c175,52,174,40,174,23l181,19l169,9l163,15l96,15l83,8c84,19,84,38,84,65c83,91,80,115,74,134c68,154,58,172,46,188l49,191c74,166,88,134,92,95l131,95l131,128l108,128l96,121c97,131,97,143,97,157c97,170,97,183,96,195l108,190xm164,50l95,50l95,20l164,20l164,50xm164,171l108,171l108,132l164,132l164,171xm49,56l81,56l68,42l58,51l49,51l49,19l55,14l36,4c37,13,37,29,37,51l2,51l9,58l18,56l37,56l37,98c16,108,4,114,1,114l13,129c14,126,22,119,37,108l37,166c37,170,36,172,33,172c30,173,22,172,10,169l10,173c25,179,32,184,31,190c42,185,48,178,49,169l49,102l77,81l76,77l49,93l49,56xm434,169l441,163c462,152,482,143,503,133l502,130l469,141l469,90l501,90l487,75l477,85l469,85l469,35l501,35l487,20l477,30l425,30l433,37c439,36,445,35,452,35l458,35l458,85l427,85l434,92c440,91,447,90,454,90l458,90l458,145c452,147,441,150,424,155l434,169xm516,110l516,102l547,102l547,137l502,137l509,145c515,143,522,142,529,142l547,142l547,176l478,176l485,183c491,182,498,181,505,181l616,181l602,165l591,176l557,176l557,142l604,142l590,128l580,137l557,137l557,102l586,102l586,112l597,107c596,97,596,83,596,66l596,27l602,23l590,13l584,20l516,20l506,13c506,30,507,47,507,64c507,80,506,97,506,114l516,110xm547,58l516,58l516,25l547,25l547,58xm586,58l557,58l557,25l586,25l586,58xm547,97l516,97l516,63l547,63l547,97xm586,97l557,97l557,63l586,63l586,97xm1007,124c1010,129,1012,129,1015,125c1017,121,1018,117,1018,112c1018,108,1014,103,1007,99c1000,95,990,90,975,85l973,87c979,91,986,97,994,105l896,110c905,106,920,98,939,87c959,76,972,69,980,64c988,59,995,57,1001,56l986,43c980,50,972,57,962,64l897,67c904,64,913,58,925,48c938,38,947,33,954,32l938,23c952,22,965,20,979,18c993,17,1004,16,1013,17l1000,1c986,7,969,11,948,15c927,18,900,21,867,24l867,27c880,27,902,26,935,24c928,35,918,44,907,52c896,61,887,65,879,66l887,82c893,80,900,77,908,75c917,74,933,71,954,69c931,83,914,94,901,100c888,106,878,109,872,109l881,125c886,123,894,121,903,119c913,117,925,116,940,114l940,161c941,169,939,173,935,173c931,173,922,172,908,170l908,173c925,177,933,184,933,192c947,188,953,180,952,167l952,113l997,109c1001,115,1005,120,1007,124m963,133c988,151,1003,164,1008,174c1013,183,1017,186,1020,182c1023,178,1024,173,1023,168c1023,163,1019,158,1013,154c1007,149,991,142,965,131l963,133xm881,158c870,168,858,176,846,183l848,186c866,178,882,169,895,158c909,148,918,142,922,142l908,128c901,138,892,149,881,158e">
            <v:stroke joinstyle="miter" miterlimit="4"/>
          </v:shape>
        </w:pict>
      </w:r>
      <w:r>
        <w:rPr>
          <w:rFonts w:ascii="Times New Roman" w:hAnsi="Times New Roman" w:eastAsia="Times New Roman" w:cs="Times New Roman"/>
          <w:color w:val="231F20"/>
          <w:spacing w:val="-2"/>
        </w:rPr>
        <w:t>1. </w:t>
      </w:r>
      <w:r>
        <w:rPr>
          <w:color w:val="231F20"/>
          <w:spacing w:val="-2"/>
        </w:rPr>
        <w:t>数据治理体系层次不清</w:t>
      </w:r>
    </w:p>
    <w:p>
      <w:pPr>
        <w:pStyle w:val="BodyText"/>
        <w:ind w:left="26" w:right="643" w:firstLine="424"/>
        <w:spacing w:before="72" w:line="269" w:lineRule="auto"/>
        <w:jc w:val="both"/>
        <w:rPr/>
      </w:pPr>
      <w:r>
        <w:rPr>
          <w:color w:val="231F20"/>
        </w:rPr>
        <w:t>根据主体的差异性，数据治理可分为多个层次，不同层次的数据治理有不同的目标和</w:t>
      </w:r>
      <w:r>
        <w:rPr>
          <w:color w:val="231F20"/>
          <w:spacing w:val="17"/>
        </w:rPr>
        <w:t xml:space="preserve"> </w:t>
      </w:r>
      <w:r>
        <w:rPr>
          <w:color w:val="231F20"/>
        </w:rPr>
        <w:t>作用对象，其治理措施、范围和效果都有所不同。当前，数据治理主体过于扁平化</w:t>
      </w:r>
      <w:r>
        <w:rPr>
          <w:color w:val="231F20"/>
          <w:spacing w:val="-1"/>
        </w:rPr>
        <w:t>，在多</w:t>
      </w:r>
      <w:r>
        <w:rPr>
          <w:color w:val="231F20"/>
        </w:rPr>
        <w:t xml:space="preserve"> </w:t>
      </w:r>
      <w:r>
        <w:rPr>
          <w:color w:val="231F20"/>
        </w:rPr>
        <w:t>元共治机制上面临一定的缺失困境，这就使得数据治理体系的层次不清、概念混乱，各级</w:t>
      </w:r>
      <w:r>
        <w:rPr>
          <w:color w:val="231F20"/>
          <w:spacing w:val="6"/>
        </w:rPr>
        <w:t xml:space="preserve"> </w:t>
      </w:r>
      <w:r>
        <w:rPr>
          <w:color w:val="231F20"/>
          <w:spacing w:val="-2"/>
        </w:rPr>
        <w:t>数据治理难以形成统一的整体，作用效果无法达到预期。</w:t>
      </w:r>
    </w:p>
    <w:p>
      <w:pPr>
        <w:spacing w:line="269" w:lineRule="auto"/>
        <w:sectPr>
          <w:footerReference w:type="default" r:id="rId122"/>
          <w:pgSz w:w="10489" w:h="14741"/>
          <w:pgMar w:top="679" w:right="489" w:bottom="734" w:left="1116" w:header="0" w:footer="552" w:gutter="0"/>
        </w:sectPr>
        <w:rPr/>
      </w:pPr>
    </w:p>
    <w:p>
      <w:pPr>
        <w:spacing w:before="78" w:line="215" w:lineRule="auto"/>
        <w:rPr>
          <w:rFonts w:ascii="Microsoft YaHei" w:hAnsi="Microsoft YaHei" w:eastAsia="Microsoft YaHei" w:cs="Microsoft YaHei"/>
          <w:sz w:val="18"/>
          <w:szCs w:val="18"/>
        </w:rPr>
      </w:pPr>
      <w:r>
        <w:drawing>
          <wp:anchor distT="0" distB="0" distL="0" distR="0" simplePos="0" relativeHeight="251990016" behindDoc="1" locked="0" layoutInCell="1" allowOverlap="1">
            <wp:simplePos x="0" y="0"/>
            <wp:positionH relativeFrom="column">
              <wp:posOffset>108299</wp:posOffset>
            </wp:positionH>
            <wp:positionV relativeFrom="paragraph">
              <wp:posOffset>79371</wp:posOffset>
            </wp:positionV>
            <wp:extent cx="83329" cy="46985"/>
            <wp:effectExtent l="0" t="0" r="0" b="0"/>
            <wp:wrapNone/>
            <wp:docPr id="200" name="IM 200"/>
            <wp:cNvGraphicFramePr/>
            <a:graphic>
              <a:graphicData uri="http://schemas.openxmlformats.org/drawingml/2006/picture">
                <pic:pic>
                  <pic:nvPicPr>
                    <pic:cNvPr id="200" name="IM 200"/>
                    <pic:cNvPicPr/>
                  </pic:nvPicPr>
                  <pic:blipFill>
                    <a:blip r:embed="rId130"/>
                    <a:stretch>
                      <a:fillRect/>
                    </a:stretch>
                  </pic:blipFill>
                  <pic:spPr>
                    <a:xfrm rot="0">
                      <a:off x="0" y="0"/>
                      <a:ext cx="83329" cy="46985"/>
                    </a:xfrm>
                    <a:prstGeom prst="rect">
                      <a:avLst/>
                    </a:prstGeom>
                  </pic:spPr>
                </pic:pic>
              </a:graphicData>
            </a:graphic>
          </wp:anchor>
        </w:drawing>
      </w:r>
      <w:r>
        <w:drawing>
          <wp:anchor distT="0" distB="0" distL="0" distR="0" simplePos="0" relativeHeight="251991040" behindDoc="1" locked="0" layoutInCell="1" allowOverlap="1">
            <wp:simplePos x="0" y="0"/>
            <wp:positionH relativeFrom="column">
              <wp:posOffset>38548</wp:posOffset>
            </wp:positionH>
            <wp:positionV relativeFrom="paragraph">
              <wp:posOffset>120488</wp:posOffset>
            </wp:positionV>
            <wp:extent cx="153080" cy="75618"/>
            <wp:effectExtent l="0" t="0" r="0" b="0"/>
            <wp:wrapNone/>
            <wp:docPr id="202" name="IM 202"/>
            <wp:cNvGraphicFramePr/>
            <a:graphic>
              <a:graphicData uri="http://schemas.openxmlformats.org/drawingml/2006/picture">
                <pic:pic>
                  <pic:nvPicPr>
                    <pic:cNvPr id="202" name="IM 202"/>
                    <pic:cNvPicPr/>
                  </pic:nvPicPr>
                  <pic:blipFill>
                    <a:blip r:embed="rId131"/>
                    <a:stretch>
                      <a:fillRect/>
                    </a:stretch>
                  </pic:blipFill>
                  <pic:spPr>
                    <a:xfrm rot="0">
                      <a:off x="0" y="0"/>
                      <a:ext cx="153080" cy="75618"/>
                    </a:xfrm>
                    <a:prstGeom prst="rect">
                      <a:avLst/>
                    </a:prstGeom>
                  </pic:spPr>
                </pic:pic>
              </a:graphicData>
            </a:graphic>
          </wp:anchor>
        </w:drawing>
      </w:r>
      <w:r>
        <w:rPr>
          <w:rFonts w:ascii="Microsoft YaHei" w:hAnsi="Microsoft YaHei" w:eastAsia="Microsoft YaHei" w:cs="Microsoft YaHei"/>
          <w:sz w:val="18"/>
          <w:szCs w:val="18"/>
          <w:color w:val="D9D9D9"/>
          <w:position w:val="-5"/>
        </w:rPr>
        <w:drawing>
          <wp:inline distT="0" distB="0" distL="0" distR="0">
            <wp:extent cx="369303" cy="250002"/>
            <wp:effectExtent l="0" t="0" r="0" b="0"/>
            <wp:docPr id="204" name="IM 204"/>
            <wp:cNvGraphicFramePr/>
            <a:graphic>
              <a:graphicData uri="http://schemas.openxmlformats.org/drawingml/2006/picture">
                <pic:pic>
                  <pic:nvPicPr>
                    <pic:cNvPr id="204" name="IM 204"/>
                    <pic:cNvPicPr/>
                  </pic:nvPicPr>
                  <pic:blipFill>
                    <a:blip r:embed="rId132"/>
                    <a:stretch>
                      <a:fillRect/>
                    </a:stretch>
                  </pic:blipFill>
                  <pic:spPr>
                    <a:xfrm rot="0">
                      <a:off x="0" y="0"/>
                      <a:ext cx="369303" cy="250002"/>
                    </a:xfrm>
                    <a:prstGeom prst="rect">
                      <a:avLst/>
                    </a:prstGeom>
                  </pic:spPr>
                </pic:pic>
              </a:graphicData>
            </a:graphic>
          </wp:inline>
        </w:drawing>
      </w:r>
      <w:r>
        <w:rPr>
          <w:rFonts w:ascii="Microsoft YaHei" w:hAnsi="Microsoft YaHei" w:eastAsia="Microsoft YaHei" w:cs="Microsoft YaHei"/>
          <w:sz w:val="18"/>
          <w:szCs w:val="18"/>
          <w:color w:val="D9D9D9"/>
          <w:spacing w:val="49"/>
        </w:rPr>
        <w:t xml:space="preserve"> </w:t>
      </w:r>
      <w:r>
        <w:rPr>
          <w:rFonts w:ascii="Microsoft YaHei" w:hAnsi="Microsoft YaHei" w:eastAsia="Microsoft YaHei" w:cs="Microsoft YaHei"/>
          <w:sz w:val="18"/>
          <w:szCs w:val="18"/>
          <w:color w:val="D9D9D9"/>
          <w:spacing w:val="2"/>
        </w:rPr>
        <w:t>数据治理</w:t>
      </w:r>
      <w:r>
        <w:rPr>
          <w:rFonts w:ascii="Microsoft YaHei" w:hAnsi="Microsoft YaHei" w:eastAsia="Microsoft YaHei" w:cs="Microsoft YaHei"/>
          <w:sz w:val="18"/>
          <w:szCs w:val="18"/>
          <w:color w:val="D9D9D9"/>
          <w:spacing w:val="48"/>
          <w:w w:val="101"/>
        </w:rPr>
        <w:t xml:space="preserve"> </w:t>
      </w:r>
      <w:r>
        <w:rPr>
          <w:rFonts w:ascii="Microsoft YaHei" w:hAnsi="Microsoft YaHei" w:eastAsia="Microsoft YaHei" w:cs="Microsoft YaHei"/>
          <w:sz w:val="18"/>
          <w:szCs w:val="18"/>
          <w:color w:val="4B4C4D"/>
          <w:spacing w:val="2"/>
        </w:rPr>
        <w:t>理论、方法与实践</w:t>
      </w:r>
    </w:p>
    <w:p>
      <w:pPr>
        <w:spacing w:line="335" w:lineRule="auto"/>
        <w:rPr>
          <w:rFonts w:ascii="Arial"/>
          <w:sz w:val="21"/>
        </w:rPr>
      </w:pPr>
      <w:r/>
    </w:p>
    <w:p>
      <w:pPr>
        <w:pStyle w:val="BodyText"/>
        <w:ind w:left="999"/>
        <w:spacing w:before="68" w:line="220" w:lineRule="auto"/>
        <w:rPr/>
      </w:pPr>
      <w:r>
        <w:pict>
          <v:shape id="_x0000_s244" style="position:absolute;margin-left:71.032pt;margin-top:3.89204pt;mso-position-vertical-relative:text;mso-position-horizontal-relative:text;width:9.7pt;height:9.75pt;z-index:-251324416;" filled="false" strokecolor="#231F20" strokeweight="0.17pt" coordsize="193,195" coordorigin="0,0" path="m108,187l108,173l164,173l164,191l175,184c175,172,174,155,174,133l181,128l169,118l163,125l141,125l141,92l192,92l178,78l169,87l141,87l141,70l148,65l130,57c131,67,131,77,131,87l93,87c94,74,95,62,95,52l164,52l164,62l175,57c175,49,174,37,174,21l181,17l169,6l163,13l96,13l83,5c84,17,84,36,84,62c83,89,80,112,74,132c68,152,58,170,46,186l49,188c74,163,88,131,92,92l131,92l131,125l108,125l96,119c97,129,97,141,97,154c97,168,97,180,96,192l108,187xm164,47l95,47l95,18l164,18l164,47xm164,169l108,169l108,130l164,130l164,169xm49,54l81,54l68,40l58,49l49,49l49,17l55,11l36,1c37,11,37,26,37,49l2,49l9,55l18,54l37,54l37,96c16,106,4,111,1,112l13,127c14,123,22,116,37,105l37,164c37,167,36,170,33,170c30,170,22,169,10,167l10,170c25,176,32,182,31,187c42,183,48,176,49,166l49,100l77,78l76,75l49,91l49,54xe">
            <v:stroke joinstyle="miter" miterlimit="4"/>
          </v:shape>
        </w:pict>
      </w:r>
      <w:r>
        <w:rPr>
          <w:rFonts w:ascii="Times New Roman" w:hAnsi="Times New Roman" w:eastAsia="Times New Roman" w:cs="Times New Roman"/>
          <w:color w:val="231F20"/>
          <w:spacing w:val="-1"/>
        </w:rPr>
        <w:t>2. </w:t>
      </w:r>
      <w:r>
        <w:rPr>
          <w:color w:val="231F20"/>
          <w:spacing w:val="-1"/>
        </w:rPr>
        <w:t>数据主权保护权责模糊</w:t>
      </w:r>
    </w:p>
    <w:p>
      <w:pPr>
        <w:pStyle w:val="BodyText"/>
        <w:ind w:left="577" w:right="72" w:firstLine="427"/>
        <w:spacing w:before="72" w:line="272" w:lineRule="auto"/>
        <w:rPr/>
      </w:pPr>
      <w:r>
        <w:rPr>
          <w:color w:val="231F20"/>
        </w:rPr>
        <w:t>数据作为资源蕴涵着宝贵的能量，在当今社会已成为与土地、资本、人力等同样重要</w:t>
      </w:r>
      <w:r>
        <w:rPr>
          <w:color w:val="231F20"/>
          <w:spacing w:val="14"/>
        </w:rPr>
        <w:t xml:space="preserve"> </w:t>
      </w:r>
      <w:r>
        <w:rPr>
          <w:color w:val="231F20"/>
          <w:spacing w:val="-5"/>
        </w:rPr>
        <w:t>的战略资源，数据治理能力也成为国家治理能力的衡量尺度之一。全球范围的云计算</w:t>
      </w:r>
      <w:r>
        <w:rPr>
          <w:color w:val="231F20"/>
          <w:spacing w:val="-6"/>
        </w:rPr>
        <w:t>和数据</w:t>
      </w:r>
      <w:r>
        <w:rPr>
          <w:color w:val="231F20"/>
        </w:rPr>
        <w:t xml:space="preserve"> </w:t>
      </w:r>
      <w:r>
        <w:rPr>
          <w:color w:val="231F20"/>
          <w:spacing w:val="-5"/>
        </w:rPr>
        <w:t>跨境流动对数据主权保护提出了新挑战，数据主权的保护成为各级数据治理主</w:t>
      </w:r>
      <w:r>
        <w:rPr>
          <w:color w:val="231F20"/>
          <w:spacing w:val="-6"/>
        </w:rPr>
        <w:t>体必须考虑的</w:t>
      </w:r>
      <w:r>
        <w:rPr>
          <w:color w:val="231F20"/>
        </w:rPr>
        <w:t xml:space="preserve"> </w:t>
      </w:r>
      <w:r>
        <w:rPr>
          <w:color w:val="231F20"/>
        </w:rPr>
        <w:t>问题。当前，数据治理主体之间的关系并没有明确界定，国际上也没有权威的组织或标准</w:t>
      </w:r>
      <w:r>
        <w:rPr>
          <w:color w:val="231F20"/>
          <w:spacing w:val="13"/>
        </w:rPr>
        <w:t xml:space="preserve"> </w:t>
      </w:r>
      <w:r>
        <w:rPr>
          <w:color w:val="231F20"/>
          <w:spacing w:val="-5"/>
        </w:rPr>
        <w:t>对数据主权的范围进行限定和规范，数据主权保护的责任主体模糊，保护力度有待加强。</w:t>
      </w:r>
    </w:p>
    <w:p>
      <w:pPr>
        <w:pStyle w:val="BodyText"/>
        <w:ind w:left="1003"/>
        <w:spacing w:before="73" w:line="219" w:lineRule="auto"/>
        <w:rPr/>
      </w:pPr>
      <w:r>
        <w:pict>
          <v:shape id="_x0000_s246" style="position:absolute;margin-left:71.032pt;margin-top:4.10607pt;mso-position-vertical-relative:text;mso-position-horizontal-relative:text;width:9.7pt;height:9.75pt;z-index:-251323392;" filled="false" strokecolor="#231F20" strokeweight="0.17pt" coordsize="193,195" coordorigin="0,0" path="m108,187l108,173l164,173l164,191l175,184c175,172,174,155,174,133l181,128l169,118l163,125l141,125l141,92l192,92l178,78l169,87l141,87l141,70l148,65l130,57c131,67,131,77,131,87l93,87c94,74,95,62,95,52l164,52l164,62l175,57c175,49,174,37,174,21l181,17l169,6l163,13l96,13l83,5c84,17,84,36,84,62c83,89,80,112,74,132c68,152,58,170,46,186l49,188c74,163,88,131,92,92l131,92l131,125l108,125l96,119c97,129,97,141,97,154c97,168,97,180,96,192l108,187xm164,47l95,47l95,18l164,18l164,47xm164,169l108,169l108,130l164,130l164,169xm49,54l81,54l68,40l58,49l49,49l49,17l55,11l36,1c37,11,37,26,37,49l2,49l9,55l18,54l37,54l37,96c16,106,4,111,1,112l13,127c14,123,22,116,37,105l37,164c37,167,36,170,33,170c30,170,22,169,10,167l10,170c25,176,32,182,31,187c42,183,48,176,49,166l49,100l77,78l76,75l49,91l49,54xe">
            <v:stroke joinstyle="miter" miterlimit="4"/>
          </v:shape>
        </w:pict>
      </w:r>
      <w:r>
        <w:rPr>
          <w:rFonts w:ascii="Times New Roman" w:hAnsi="Times New Roman" w:eastAsia="Times New Roman" w:cs="Times New Roman"/>
          <w:color w:val="231F20"/>
          <w:spacing w:val="-1"/>
        </w:rPr>
        <w:t>3. </w:t>
      </w:r>
      <w:r>
        <w:rPr>
          <w:color w:val="231F20"/>
          <w:spacing w:val="-1"/>
        </w:rPr>
        <w:t>数据要素价值实现困难</w:t>
      </w:r>
    </w:p>
    <w:p>
      <w:pPr>
        <w:pStyle w:val="BodyText"/>
        <w:ind w:left="577" w:right="71" w:firstLine="427"/>
        <w:spacing w:before="71" w:line="277" w:lineRule="auto"/>
        <w:rPr/>
      </w:pPr>
      <w:r>
        <w:rPr>
          <w:color w:val="231F20"/>
        </w:rPr>
        <w:t>数据治理的最终目标是实现数据生产要素价值，主要手段是各级数据价值应用。数据</w:t>
      </w:r>
      <w:r>
        <w:rPr>
          <w:color w:val="231F20"/>
          <w:spacing w:val="15"/>
        </w:rPr>
        <w:t xml:space="preserve"> </w:t>
      </w:r>
      <w:r>
        <w:rPr>
          <w:color w:val="231F20"/>
        </w:rPr>
        <w:t>治理体系的缺失，使得各级数据应用的目标、策略相对来说都具有一定的局限性，各级主</w:t>
      </w:r>
      <w:r>
        <w:rPr>
          <w:color w:val="231F20"/>
          <w:spacing w:val="9"/>
        </w:rPr>
        <w:t xml:space="preserve"> </w:t>
      </w:r>
      <w:r>
        <w:rPr>
          <w:color w:val="231F20"/>
        </w:rPr>
        <w:t>体的数据应用缺乏对数据治理整体的关注与衔接，大多形成了数据孤岛的局面，而缺少交</w:t>
      </w:r>
      <w:r>
        <w:rPr>
          <w:color w:val="231F20"/>
          <w:spacing w:val="12"/>
        </w:rPr>
        <w:t xml:space="preserve"> </w:t>
      </w:r>
      <w:r>
        <w:rPr>
          <w:color w:val="231F20"/>
        </w:rPr>
        <w:t>互的数据无法真正发挥数据在要素市场的关键作用。更进一步说，明确数据资产的地位是</w:t>
      </w:r>
      <w:r>
        <w:rPr>
          <w:color w:val="231F20"/>
          <w:spacing w:val="11"/>
        </w:rPr>
        <w:t xml:space="preserve"> </w:t>
      </w:r>
      <w:r>
        <w:rPr>
          <w:color w:val="231F20"/>
        </w:rPr>
        <w:t>促进数据要素价值释放的关键。目前，数据的资产地位尚且不明晰，负责数据运营管理的</w:t>
      </w:r>
      <w:r>
        <w:rPr>
          <w:color w:val="231F20"/>
          <w:spacing w:val="4"/>
        </w:rPr>
        <w:t xml:space="preserve"> </w:t>
      </w:r>
      <w:r>
        <w:rPr>
          <w:color w:val="231F20"/>
        </w:rPr>
        <w:t>多为成本部门。到目前为止，明确数据资产地位的“上位法”尚未制定。在现行的法律框</w:t>
      </w:r>
      <w:r>
        <w:rPr>
          <w:color w:val="231F20"/>
          <w:spacing w:val="12"/>
        </w:rPr>
        <w:t xml:space="preserve"> </w:t>
      </w:r>
      <w:r>
        <w:rPr>
          <w:color w:val="231F20"/>
        </w:rPr>
        <w:t>架下，数据资产无法体现在会计报表上，数据确权、价值衡量、收益分配等问题制约着数</w:t>
      </w:r>
      <w:r>
        <w:rPr>
          <w:color w:val="231F20"/>
          <w:spacing w:val="11"/>
        </w:rPr>
        <w:t xml:space="preserve"> </w:t>
      </w:r>
      <w:r>
        <w:rPr>
          <w:color w:val="231F20"/>
          <w:spacing w:val="-1"/>
        </w:rPr>
        <w:t>据流通以及与之相配套的秩序规则的建立完善，从而影响了数据价值的</w:t>
      </w:r>
      <w:r>
        <w:rPr>
          <w:color w:val="231F20"/>
          <w:spacing w:val="-2"/>
        </w:rPr>
        <w:t>释放。</w:t>
      </w:r>
    </w:p>
    <w:p>
      <w:pPr>
        <w:pStyle w:val="BodyText"/>
        <w:ind w:left="998"/>
        <w:spacing w:before="76" w:line="220" w:lineRule="auto"/>
        <w:rPr/>
      </w:pPr>
      <w:r>
        <w:pict>
          <v:shape id="_x0000_s248" style="position:absolute;margin-left:71.032pt;margin-top:4.21344pt;mso-position-vertical-relative:text;mso-position-horizontal-relative:text;width:9.7pt;height:9.75pt;z-index:-251322368;" filled="false" strokecolor="#231F20" strokeweight="0.17pt" coordsize="193,195" coordorigin="0,0" path="m108,187l108,173l164,173l164,191l175,184c175,172,174,155,174,133l181,128l169,118l163,125l141,125l141,92l192,92l178,78l169,87l141,87l141,70l148,65l130,57c131,67,131,77,131,87l93,87c94,74,95,62,95,52l164,52l164,62l175,57c175,49,174,37,174,21l181,17l169,6l163,13l96,13l83,5c84,17,84,36,84,62c83,89,80,112,74,132c68,152,58,170,46,186l49,188c74,163,88,131,92,92l131,92l131,125l108,125l96,119c97,129,97,141,97,154c97,168,97,180,96,192l108,187xm164,47l95,47l95,18l164,18l164,47xm164,169l108,169l108,130l164,130l164,169xm49,54l81,54l68,40l58,49l49,49l49,17l55,11l36,1c37,11,37,26,37,49l2,49l9,55l18,54l37,54l37,96c16,106,4,111,1,112l13,127c14,123,22,116,37,105l37,164c37,167,36,170,33,170c30,170,22,169,10,167l10,170c25,176,32,182,31,187c42,183,48,176,49,166l49,100l77,78l76,75l49,91l49,54xe">
            <v:stroke joinstyle="miter" miterlimit="4"/>
          </v:shape>
        </w:pict>
      </w:r>
      <w:r>
        <w:rPr>
          <w:rFonts w:ascii="Times New Roman" w:hAnsi="Times New Roman" w:eastAsia="Times New Roman" w:cs="Times New Roman"/>
          <w:color w:val="231F20"/>
          <w:spacing w:val="1"/>
        </w:rPr>
        <w:t>4. </w:t>
      </w:r>
      <w:r>
        <w:rPr>
          <w:color w:val="231F20"/>
          <w:spacing w:val="1"/>
        </w:rPr>
        <w:t>数据安全隐私存在风险</w:t>
      </w:r>
    </w:p>
    <w:p>
      <w:pPr>
        <w:pStyle w:val="BodyText"/>
        <w:ind w:left="577" w:firstLine="425"/>
        <w:spacing w:before="69" w:line="276" w:lineRule="auto"/>
        <w:rPr/>
      </w:pPr>
      <w:r>
        <w:rPr>
          <w:color w:val="231F20"/>
        </w:rPr>
        <w:t>在数据主导的时代，安全和隐私是公认的难题。高额收益、低价成本、数据多元异构 </w:t>
      </w:r>
      <w:r>
        <w:rPr>
          <w:color w:val="231F20"/>
        </w:rPr>
        <w:t>等不协调因素都增大了数据保护的难度。举例来说，数据隐私保护技术大多基于静态数据 </w:t>
      </w:r>
      <w:r>
        <w:rPr>
          <w:color w:val="231F20"/>
          <w:spacing w:val="2"/>
        </w:rPr>
        <w:t>集，数据的动态利用使得数据流动过程中的权责难以分辨，数据安全问题更是难以追责。</w:t>
      </w:r>
      <w:r>
        <w:rPr>
          <w:color w:val="231F20"/>
          <w:spacing w:val="16"/>
        </w:rPr>
        <w:t xml:space="preserve"> </w:t>
      </w:r>
      <w:r>
        <w:rPr>
          <w:color w:val="231F20"/>
        </w:rPr>
        <w:t>在个人隐私方面，个人数据和数据流动的广泛性增加了个人隐私数据的风险，个人数据权 </w:t>
      </w:r>
      <w:r>
        <w:rPr>
          <w:color w:val="231F20"/>
        </w:rPr>
        <w:t>利受到侵害，数据主体对数据的控制权被削弱。尽管当前各级数据治理主体普遍开展了数 </w:t>
      </w:r>
      <w:r>
        <w:rPr>
          <w:color w:val="231F20"/>
        </w:rPr>
        <w:t>据安全管理和个人隐私保护的行动，但从整体来看，其策略、措施都存在较大差异甚至存 </w:t>
      </w:r>
      <w:r>
        <w:rPr>
          <w:color w:val="231F20"/>
          <w:spacing w:val="-1"/>
        </w:rPr>
        <w:t>在一定的矛盾点，数据安全与个人隐私保护依旧存在不容</w:t>
      </w:r>
      <w:r>
        <w:rPr>
          <w:color w:val="231F20"/>
          <w:spacing w:val="-2"/>
        </w:rPr>
        <w:t>忽视的风险。</w:t>
      </w:r>
    </w:p>
    <w:p>
      <w:pPr>
        <w:pStyle w:val="BodyText"/>
        <w:ind w:left="1005"/>
        <w:spacing w:before="74" w:line="220" w:lineRule="auto"/>
        <w:rPr/>
      </w:pPr>
      <w:r>
        <w:pict>
          <v:shape id="_x0000_s250" style="position:absolute;margin-left:113.278pt;margin-top:4.00909pt;mso-position-vertical-relative:text;mso-position-horizontal-relative:text;width:9.05pt;height:9.75pt;z-index:-251321344;" filled="false" strokecolor="#231F20" strokeweight="0.17pt" coordsize="181,195" coordorigin="0,0" path="m162,124c165,129,167,129,170,125c172,121,173,117,173,112c173,108,169,103,162,99c156,95,145,90,130,85l128,87c134,91,141,97,149,105l51,110c61,106,75,98,94,87c114,76,127,69,135,64c143,59,150,57,156,56l141,43c135,50,127,57,117,64l52,67c59,64,68,58,80,48c93,38,102,33,109,32l93,23c107,22,121,20,135,18c148,17,160,16,168,17l155,1c141,7,124,11,103,15c82,18,55,21,23,24l23,27c35,27,58,26,90,24c83,35,74,44,62,52c51,61,42,65,34,66l42,82c48,80,55,77,64,75c72,74,88,71,109,69c87,84,69,94,56,100c43,106,33,109,27,109l36,125c41,123,49,121,58,119c68,117,80,115,96,114l96,161c96,169,94,173,90,173c86,173,77,172,63,170l63,173c80,177,88,184,88,192c102,189,108,180,107,167l107,113l152,109c157,115,160,120,162,124m119,133c143,151,158,164,163,174c168,183,172,186,175,182c178,178,179,173,178,168c178,163,174,158,168,154c162,149,146,142,120,131l119,133xm36,158c25,168,13,176,1,183l3,186c21,178,37,169,50,158c64,148,73,142,78,142l63,128c56,138,47,149,36,158e">
            <v:stroke joinstyle="miter" miterlimit="4"/>
          </v:shape>
        </w:pict>
      </w:r>
      <w:r>
        <w:rPr>
          <w:rFonts w:ascii="Times New Roman" w:hAnsi="Times New Roman" w:eastAsia="Times New Roman" w:cs="Times New Roman"/>
          <w:color w:val="231F20"/>
          <w:spacing w:val="-1"/>
        </w:rPr>
        <w:t>5. </w:t>
      </w:r>
      <w:r>
        <w:rPr>
          <w:color w:val="231F20"/>
          <w:spacing w:val="-1"/>
        </w:rPr>
        <w:t>人才培养体系建设落后</w:t>
      </w:r>
    </w:p>
    <w:p>
      <w:pPr>
        <w:pStyle w:val="BodyText"/>
        <w:ind w:left="573" w:right="12" w:firstLine="431"/>
        <w:spacing w:before="78" w:line="278" w:lineRule="auto"/>
        <w:rPr/>
      </w:pPr>
      <w:r>
        <w:rPr>
          <w:color w:val="231F20"/>
          <w:spacing w:val="6"/>
        </w:rPr>
        <w:t>大数据技术与传统产业的深度融合能够促进我国经济发展的新旧动能转换和数字经</w:t>
      </w:r>
      <w:r>
        <w:rPr>
          <w:color w:val="231F20"/>
          <w:spacing w:val="7"/>
        </w:rPr>
        <w:t xml:space="preserve"> </w:t>
      </w:r>
      <w:r>
        <w:rPr>
          <w:color w:val="231F20"/>
          <w:spacing w:val="6"/>
        </w:rPr>
        <w:t>济的发展，而这一切的发展都需要大量的人才支撑。目前我国数字产业化和产业数字化</w:t>
      </w:r>
      <w:r>
        <w:rPr>
          <w:color w:val="231F20"/>
        </w:rPr>
        <w:t xml:space="preserve"> </w:t>
      </w:r>
      <w:r>
        <w:rPr>
          <w:color w:val="231F20"/>
          <w:spacing w:val="6"/>
        </w:rPr>
        <w:t>蓬勃发展，对大数据复合型人才提出了更高的要求：既要懂大数据技术又要懂相关产业</w:t>
      </w:r>
      <w:r>
        <w:rPr>
          <w:color w:val="231F20"/>
          <w:spacing w:val="2"/>
        </w:rPr>
        <w:t xml:space="preserve"> </w:t>
      </w:r>
      <w:r>
        <w:rPr>
          <w:color w:val="231F20"/>
          <w:spacing w:val="4"/>
        </w:rPr>
        <w:t>的知识。</w:t>
      </w:r>
      <w:r>
        <w:rPr>
          <w:rFonts w:ascii="Times New Roman" w:hAnsi="Times New Roman" w:eastAsia="Times New Roman" w:cs="Times New Roman"/>
          <w:color w:val="231F20"/>
          <w:spacing w:val="4"/>
        </w:rPr>
        <w:t>2017 </w:t>
      </w:r>
      <w:r>
        <w:rPr>
          <w:color w:val="231F20"/>
          <w:spacing w:val="4"/>
        </w:rPr>
        <w:t>年，清华大学经管学院互联网发展与治理研究中心</w:t>
      </w:r>
      <w:r>
        <w:rPr>
          <w:color w:val="231F20"/>
          <w:spacing w:val="3"/>
        </w:rPr>
        <w:t>联合全球职场社交平台 </w:t>
      </w:r>
      <w:r>
        <w:rPr>
          <w:rFonts w:ascii="Times New Roman" w:hAnsi="Times New Roman" w:eastAsia="Times New Roman" w:cs="Times New Roman"/>
          <w:color w:val="231F20"/>
        </w:rPr>
        <w:t>LinkedIn</w:t>
      </w:r>
      <w:r>
        <w:rPr>
          <w:color w:val="231F20"/>
          <w:spacing w:val="3"/>
        </w:rPr>
        <w:t>（领英）发布的《中国经济的数字化转型：人才与就业》</w:t>
      </w:r>
      <w:r>
        <w:rPr>
          <w:color w:val="231F20"/>
          <w:spacing w:val="2"/>
        </w:rPr>
        <w:t>报告显示，大数据与人</w:t>
      </w:r>
      <w:r>
        <w:rPr>
          <w:color w:val="231F20"/>
        </w:rPr>
        <w:t xml:space="preserve"> </w:t>
      </w:r>
      <w:r>
        <w:rPr>
          <w:color w:val="231F20"/>
          <w:spacing w:val="-4"/>
        </w:rPr>
        <w:t>工智能领域缺口明显，“技术</w:t>
      </w:r>
      <w:r>
        <w:rPr>
          <w:color w:val="231F20"/>
          <w:spacing w:val="-44"/>
        </w:rPr>
        <w:t xml:space="preserve"> </w:t>
      </w:r>
      <w:r>
        <w:rPr>
          <w:rFonts w:ascii="Times New Roman" w:hAnsi="Times New Roman" w:eastAsia="Times New Roman" w:cs="Times New Roman"/>
          <w:color w:val="231F20"/>
          <w:spacing w:val="-4"/>
        </w:rPr>
        <w:t>+</w:t>
      </w:r>
      <w:r>
        <w:rPr>
          <w:rFonts w:ascii="Times New Roman" w:hAnsi="Times New Roman" w:eastAsia="Times New Roman" w:cs="Times New Roman"/>
          <w:color w:val="231F20"/>
          <w:spacing w:val="13"/>
        </w:rPr>
        <w:t xml:space="preserve"> </w:t>
      </w:r>
      <w:r>
        <w:rPr>
          <w:color w:val="231F20"/>
          <w:spacing w:val="-4"/>
        </w:rPr>
        <w:t>管理”的复合型人才一将难求。为了适应时代发展的要求，</w:t>
      </w:r>
      <w:r>
        <w:rPr>
          <w:color w:val="231F20"/>
        </w:rPr>
        <w:t xml:space="preserve"> </w:t>
      </w:r>
      <w:r>
        <w:rPr>
          <w:color w:val="231F20"/>
        </w:rPr>
        <w:t>我国已经有众多高校获批数据科学与大数据技术专业，在数据复合型人才培养方面</w:t>
      </w:r>
      <w:r>
        <w:rPr>
          <w:color w:val="231F20"/>
          <w:spacing w:val="-1"/>
        </w:rPr>
        <w:t>取得了</w:t>
      </w:r>
      <w:r>
        <w:rPr>
          <w:color w:val="231F20"/>
        </w:rPr>
        <w:t xml:space="preserve">  </w:t>
      </w:r>
      <w:r>
        <w:rPr>
          <w:color w:val="231F20"/>
        </w:rPr>
        <w:t>一定的成绩。但在目前的教育体系中，高校人才培养多偏向于理论与技术，与现实业务对 </w:t>
      </w:r>
      <w:r>
        <w:rPr>
          <w:color w:val="231F20"/>
        </w:rPr>
        <w:t>接较少。在大数据与各领域融合发展过程是业务导向而不是技术导向，不能将技术和工具 </w:t>
      </w:r>
      <w:r>
        <w:rPr>
          <w:color w:val="231F20"/>
          <w:spacing w:val="-1"/>
        </w:rPr>
        <w:t>限定好再考虑业务，而是要通过业务活动解决实际问题，将技术作为解决问题的工具。</w:t>
      </w:r>
    </w:p>
    <w:p>
      <w:pPr>
        <w:ind w:left="594"/>
        <w:spacing w:before="210" w:line="201" w:lineRule="auto"/>
        <w:rPr>
          <w:sz w:val="23"/>
          <w:szCs w:val="23"/>
        </w:rPr>
      </w:pPr>
      <w:r>
        <w:rPr>
          <w:rFonts w:ascii="Arial" w:hAnsi="Arial" w:eastAsia="Arial" w:cs="Arial"/>
          <w:sz w:val="23"/>
          <w:szCs w:val="23"/>
          <w:u w:val="single" w:color="76787B"/>
          <w:color w:val="231F20"/>
          <w:spacing w:val="-3"/>
        </w:rPr>
        <w:t>1.4.3</w:t>
      </w:r>
      <w:r>
        <w:rPr>
          <w:rFonts w:ascii="Arial" w:hAnsi="Arial" w:eastAsia="Arial" w:cs="Arial"/>
          <w:sz w:val="23"/>
          <w:szCs w:val="23"/>
          <w:u w:val="single" w:color="76787B"/>
          <w:color w:val="231F20"/>
          <w:spacing w:val="18"/>
        </w:rPr>
        <w:t xml:space="preserve">   </w:t>
      </w:r>
      <w:r>
        <w:rPr>
          <w:rFonts w:ascii="Microsoft YaHei" w:hAnsi="Microsoft YaHei" w:eastAsia="Microsoft YaHei" w:cs="Microsoft YaHei"/>
          <w:sz w:val="23"/>
          <w:szCs w:val="23"/>
          <w:u w:val="single" w:color="76787B"/>
          <w:color w:val="231F20"/>
          <w:spacing w:val="-3"/>
        </w:rPr>
        <w:t>数据治理的发展机遇</w:t>
      </w:r>
      <w:r>
        <w:rPr>
          <w:rFonts w:ascii="Microsoft YaHei" w:hAnsi="Microsoft YaHei" w:eastAsia="Microsoft YaHei" w:cs="Microsoft YaHei"/>
          <w:sz w:val="23"/>
          <w:szCs w:val="23"/>
          <w:u w:val="single" w:color="76787B"/>
          <w:color w:val="231F20"/>
          <w:spacing w:val="-48"/>
        </w:rPr>
        <w:t xml:space="preserve"> </w:t>
      </w:r>
      <w:r>
        <w:rPr>
          <w:sz w:val="23"/>
          <w:szCs w:val="23"/>
          <w:position w:val="-7"/>
        </w:rPr>
        <w:drawing>
          <wp:inline distT="0" distB="0" distL="0" distR="0">
            <wp:extent cx="70198" cy="187197"/>
            <wp:effectExtent l="0" t="0" r="0" b="0"/>
            <wp:docPr id="206" name="IM 206"/>
            <wp:cNvGraphicFramePr/>
            <a:graphic>
              <a:graphicData uri="http://schemas.openxmlformats.org/drawingml/2006/picture">
                <pic:pic>
                  <pic:nvPicPr>
                    <pic:cNvPr id="206" name="IM 206"/>
                    <pic:cNvPicPr/>
                  </pic:nvPicPr>
                  <pic:blipFill>
                    <a:blip r:embed="rId133"/>
                    <a:stretch>
                      <a:fillRect/>
                    </a:stretch>
                  </pic:blipFill>
                  <pic:spPr>
                    <a:xfrm rot="0">
                      <a:off x="0" y="0"/>
                      <a:ext cx="70198" cy="187197"/>
                    </a:xfrm>
                    <a:prstGeom prst="rect">
                      <a:avLst/>
                    </a:prstGeom>
                  </pic:spPr>
                </pic:pic>
              </a:graphicData>
            </a:graphic>
          </wp:inline>
        </w:drawing>
      </w:r>
    </w:p>
    <w:p>
      <w:pPr>
        <w:pStyle w:val="BodyText"/>
        <w:ind w:left="582" w:right="86" w:firstLine="421"/>
        <w:spacing w:before="181" w:line="252" w:lineRule="auto"/>
        <w:rPr/>
      </w:pPr>
      <w:r>
        <w:rPr>
          <w:color w:val="231F20"/>
        </w:rPr>
        <w:t>尽管数据治理面对的是各类有待解决的问题，但随着近年来新技术及平台经济的发展 </w:t>
      </w:r>
      <w:r>
        <w:rPr>
          <w:color w:val="231F20"/>
          <w:spacing w:val="-2"/>
        </w:rPr>
        <w:t>热潮，数据治理同样也面临着许多选择与机遇。</w:t>
      </w:r>
    </w:p>
    <w:p>
      <w:pPr>
        <w:spacing w:line="252" w:lineRule="auto"/>
        <w:sectPr>
          <w:footerReference w:type="default" r:id="rId129"/>
          <w:pgSz w:w="10489" w:h="14741"/>
          <w:pgMar w:top="482" w:right="1061" w:bottom="734" w:left="564" w:header="0" w:footer="552" w:gutter="0"/>
        </w:sectPr>
        <w:rPr/>
      </w:pPr>
    </w:p>
    <w:p>
      <w:pPr>
        <w:ind w:left="6233"/>
        <w:spacing w:before="41" w:line="204" w:lineRule="auto"/>
        <w:rPr>
          <w:sz w:val="18"/>
          <w:szCs w:val="18"/>
        </w:rPr>
      </w:pPr>
      <w:r>
        <w:drawing>
          <wp:anchor distT="0" distB="0" distL="0" distR="0" simplePos="0" relativeHeight="252026880" behindDoc="0" locked="0" layoutInCell="0" allowOverlap="1">
            <wp:simplePos x="0" y="0"/>
            <wp:positionH relativeFrom="page">
              <wp:posOffset>6019020</wp:posOffset>
            </wp:positionH>
            <wp:positionV relativeFrom="page">
              <wp:posOffset>7590001</wp:posOffset>
            </wp:positionV>
            <wp:extent cx="431993" cy="433400"/>
            <wp:effectExtent l="0" t="0" r="0" b="0"/>
            <wp:wrapNone/>
            <wp:docPr id="208" name="IM 208"/>
            <wp:cNvGraphicFramePr/>
            <a:graphic>
              <a:graphicData uri="http://schemas.openxmlformats.org/drawingml/2006/picture">
                <pic:pic>
                  <pic:nvPicPr>
                    <pic:cNvPr id="208" name="IM 208"/>
                    <pic:cNvPicPr/>
                  </pic:nvPicPr>
                  <pic:blipFill>
                    <a:blip r:embed="rId135"/>
                    <a:stretch>
                      <a:fillRect/>
                    </a:stretch>
                  </pic:blipFill>
                  <pic:spPr>
                    <a:xfrm rot="0">
                      <a:off x="0" y="0"/>
                      <a:ext cx="431993" cy="433400"/>
                    </a:xfrm>
                    <a:prstGeom prst="rect">
                      <a:avLst/>
                    </a:prstGeom>
                  </pic:spPr>
                </pic:pic>
              </a:graphicData>
            </a:graphic>
          </wp:anchor>
        </w:drawing>
      </w:r>
      <w:r>
        <w:rPr>
          <w:rFonts w:ascii="Microsoft YaHei" w:hAnsi="Microsoft YaHei" w:eastAsia="Microsoft YaHei" w:cs="Microsoft YaHei"/>
          <w:sz w:val="18"/>
          <w:szCs w:val="18"/>
          <w:color w:val="4B4C4D"/>
          <w:spacing w:val="-2"/>
        </w:rPr>
        <w:t>第 </w:t>
      </w:r>
      <w:r>
        <w:rPr>
          <w:rFonts w:ascii="Arial" w:hAnsi="Arial" w:eastAsia="Arial" w:cs="Arial"/>
          <w:sz w:val="18"/>
          <w:szCs w:val="18"/>
          <w:b/>
          <w:bCs/>
          <w:color w:val="4B4C4D"/>
          <w:spacing w:val="-2"/>
        </w:rPr>
        <w:t>1 </w:t>
      </w:r>
      <w:r>
        <w:rPr>
          <w:rFonts w:ascii="Microsoft YaHei" w:hAnsi="Microsoft YaHei" w:eastAsia="Microsoft YaHei" w:cs="Microsoft YaHei"/>
          <w:sz w:val="18"/>
          <w:szCs w:val="18"/>
          <w:color w:val="4B4C4D"/>
          <w:spacing w:val="-2"/>
        </w:rPr>
        <w:t>章</w:t>
      </w:r>
      <w:r>
        <w:rPr>
          <w:rFonts w:ascii="Microsoft YaHei" w:hAnsi="Microsoft YaHei" w:eastAsia="Microsoft YaHei" w:cs="Microsoft YaHei"/>
          <w:sz w:val="18"/>
          <w:szCs w:val="18"/>
          <w:color w:val="4B4C4D"/>
          <w:spacing w:val="9"/>
        </w:rPr>
        <w:t xml:space="preserve">   </w:t>
      </w:r>
      <w:r>
        <w:rPr>
          <w:rFonts w:ascii="Microsoft YaHei" w:hAnsi="Microsoft YaHei" w:eastAsia="Microsoft YaHei" w:cs="Microsoft YaHei"/>
          <w:sz w:val="18"/>
          <w:szCs w:val="18"/>
          <w:color w:val="4B4C4D"/>
          <w:spacing w:val="-2"/>
        </w:rPr>
        <w:t>数据与数据治理  </w:t>
      </w:r>
      <w:r>
        <w:rPr>
          <w:sz w:val="18"/>
          <w:szCs w:val="18"/>
          <w:position w:val="-2"/>
        </w:rPr>
        <w:drawing>
          <wp:inline distT="0" distB="0" distL="0" distR="0">
            <wp:extent cx="339153" cy="105117"/>
            <wp:effectExtent l="0" t="0" r="0" b="0"/>
            <wp:docPr id="210" name="IM 210"/>
            <wp:cNvGraphicFramePr/>
            <a:graphic>
              <a:graphicData uri="http://schemas.openxmlformats.org/drawingml/2006/picture">
                <pic:pic>
                  <pic:nvPicPr>
                    <pic:cNvPr id="210" name="IM 210"/>
                    <pic:cNvPicPr/>
                  </pic:nvPicPr>
                  <pic:blipFill>
                    <a:blip r:embed="rId136"/>
                    <a:stretch>
                      <a:fillRect/>
                    </a:stretch>
                  </pic:blipFill>
                  <pic:spPr>
                    <a:xfrm rot="0">
                      <a:off x="0" y="0"/>
                      <a:ext cx="339153" cy="105117"/>
                    </a:xfrm>
                    <a:prstGeom prst="rect">
                      <a:avLst/>
                    </a:prstGeom>
                  </pic:spPr>
                </pic:pic>
              </a:graphicData>
            </a:graphic>
          </wp:inline>
        </w:drawing>
      </w:r>
    </w:p>
    <w:p>
      <w:pPr>
        <w:spacing w:line="307" w:lineRule="auto"/>
        <w:rPr>
          <w:rFonts w:ascii="Arial"/>
          <w:sz w:val="21"/>
        </w:rPr>
      </w:pPr>
      <w:r/>
    </w:p>
    <w:p>
      <w:pPr>
        <w:pStyle w:val="BodyText"/>
        <w:ind w:left="442"/>
        <w:spacing w:before="68" w:line="220" w:lineRule="auto"/>
        <w:rPr/>
      </w:pPr>
      <w:r>
        <w:pict>
          <v:shape id="_x0000_s252" style="position:absolute;margin-left:31.7581pt;margin-top:3.87477pt;mso-position-vertical-relative:text;mso-position-horizontal-relative:text;width:62.15pt;height:9.75pt;z-index:-251291648;" filled="false" strokecolor="#231F20" strokeweight="0.17pt" coordsize="1243,195" coordorigin="0,0" path="m193,80l178,64l167,75l127,75l127,28c144,26,157,24,164,23c171,21,178,21,186,21l172,6c165,13,150,19,127,24l115,17c116,40,116,61,116,80c116,99,115,114,113,126c111,139,107,150,101,160c95,170,87,180,76,189l78,192c91,183,103,172,113,156c123,141,128,116,127,80l153,80c153,125,153,163,152,192l164,186c164,174,164,164,164,155l164,80l193,80xm25,40c32,50,36,59,37,66c39,72,42,73,45,67c49,62,49,56,45,52c41,48,35,43,27,38l25,40xm71,128c79,137,84,146,87,153c89,161,92,161,96,155c99,149,98,144,94,140c90,136,83,131,73,125l71,128xm1,177l4,178c15,169,26,155,38,136l45,132l29,123c22,145,13,163,1,177m27,172c41,176,48,182,48,188c58,184,64,178,64,170l64,113l107,113l92,98l82,108l64,108l64,79l112,79l97,64l87,74l66,74c71,66,75,59,79,54c82,49,86,45,90,44l76,35l105,35l90,20l80,30l59,30c64,24,65,20,63,16c60,11,54,7,44,1l42,3c49,13,53,22,54,30l9,30l16,37c22,36,29,35,36,35l74,35c72,46,68,59,62,74l2,74l9,82c15,80,22,79,29,79l53,79l53,108l9,108l16,114l23,113l53,113l53,164c53,169,51,171,48,171c44,171,37,170,27,169l27,172xm1156,187l1156,173l1212,173l1212,191l1223,184c1223,172,1223,155,1223,133l1229,128l1218,118l1211,125l1190,125l1190,92l1240,92l1226,78l1217,87l1190,87l1190,70l1196,65l1178,57c1179,67,1179,77,1179,87l1141,87c1143,74,1143,62,1143,52l1212,52l1212,62l1223,57c1223,49,1223,37,1223,21l1229,17l1218,6l1211,13l1144,13l1132,5c1132,17,1132,36,1132,62c1132,89,1128,112,1122,132c1116,152,1107,170,1095,186l1097,188c1122,163,1137,131,1141,92l1179,92l1179,125l1156,125l1145,119c1145,129,1146,141,1146,154c1146,168,1145,180,1145,192l1156,187xm1212,47l1143,47l1143,18l1212,18l1212,47xm1212,169l1156,169l1156,130l1212,130l1212,169xm1097,54l1129,54l1117,40l1106,49l1097,49l1097,17l1104,11l1085,1c1085,11,1086,26,1086,49l1050,49l1057,55l1067,54l1086,54l1086,96c1065,106,1053,111,1050,112l1062,127c1062,123,1070,116,1086,105l1086,164c1086,167,1084,170,1081,170c1078,170,1071,169,1059,167l1059,170c1073,176,1080,182,1079,187c1091,183,1097,176,1097,166l1097,100l1126,78l1124,75l1097,91l1097,54xe">
            <v:stroke joinstyle="miter" miterlimit="4"/>
          </v:shape>
        </w:pict>
      </w:r>
      <w:r>
        <w:rPr>
          <w:rFonts w:ascii="Times New Roman" w:hAnsi="Times New Roman" w:eastAsia="Times New Roman" w:cs="Times New Roman"/>
          <w:color w:val="231F20"/>
          <w:spacing w:val="-3"/>
        </w:rPr>
        <w:t>1. </w:t>
      </w:r>
      <w:r>
        <w:rPr>
          <w:color w:val="231F20"/>
          <w:spacing w:val="-3"/>
        </w:rPr>
        <w:t>新技术与数据治理</w:t>
      </w:r>
    </w:p>
    <w:p>
      <w:pPr>
        <w:pStyle w:val="BodyText"/>
        <w:ind w:right="728" w:firstLine="427"/>
        <w:spacing w:before="70" w:line="278" w:lineRule="auto"/>
        <w:rPr/>
      </w:pPr>
      <w:r>
        <w:rPr>
          <w:color w:val="231F20"/>
        </w:rPr>
        <w:t>伴随着大数据、云计算以及机器学习算法的发展，人工智能、区块链等新技术的浪潮  </w:t>
      </w:r>
      <w:r>
        <w:rPr>
          <w:color w:val="231F20"/>
        </w:rPr>
        <w:t>从几年前一直延续至今，并且广泛应用于多个行业和领域，成为下一次科技革命的领军技 </w:t>
      </w:r>
      <w:r>
        <w:rPr>
          <w:color w:val="231F20"/>
        </w:rPr>
        <w:t>术。同样，伴随着数据量与数据来源的迅猛增长，数据治理也成为了充分挖掘利用数据价</w:t>
      </w:r>
      <w:r>
        <w:rPr>
          <w:color w:val="231F20"/>
          <w:spacing w:val="6"/>
        </w:rPr>
        <w:t xml:space="preserve">  </w:t>
      </w:r>
      <w:r>
        <w:rPr>
          <w:color w:val="231F20"/>
          <w:spacing w:val="3"/>
        </w:rPr>
        <w:t>值过程中必不可少的环节，并逐渐与人工智能</w:t>
      </w:r>
      <w:r>
        <w:rPr>
          <w:color w:val="231F20"/>
          <w:spacing w:val="2"/>
        </w:rPr>
        <w:t>新技术协同发展成为组织的核心业务之一。</w:t>
      </w:r>
      <w:r>
        <w:rPr>
          <w:color w:val="231F20"/>
        </w:rPr>
        <w:t xml:space="preserve"> </w:t>
      </w:r>
      <w:r>
        <w:rPr>
          <w:color w:val="231F20"/>
        </w:rPr>
        <w:t>数据治理与人工智能的发展存在相辅相成的关系。一方面，数据治理为人工智能奠定了基</w:t>
      </w:r>
      <w:r>
        <w:rPr>
          <w:color w:val="231F20"/>
          <w:spacing w:val="6"/>
        </w:rPr>
        <w:t xml:space="preserve">  </w:t>
      </w:r>
      <w:r>
        <w:rPr>
          <w:color w:val="231F20"/>
          <w:spacing w:val="3"/>
        </w:rPr>
        <w:t>础。通过数据治理，数据质量得以提升，从</w:t>
      </w:r>
      <w:r>
        <w:rPr>
          <w:color w:val="231F20"/>
          <w:spacing w:val="2"/>
        </w:rPr>
        <w:t>而为人工智能的应用提供高质量的合规数据。</w:t>
      </w:r>
      <w:r>
        <w:rPr>
          <w:color w:val="231F20"/>
        </w:rPr>
        <w:t xml:space="preserve"> </w:t>
      </w:r>
      <w:r>
        <w:rPr>
          <w:color w:val="231F20"/>
        </w:rPr>
        <w:t>另一方面，人工智能对数据治理存在诸多优化作用。通过人工智能技术，数据治理工</w:t>
      </w:r>
      <w:r>
        <w:rPr>
          <w:color w:val="231F20"/>
          <w:spacing w:val="-1"/>
        </w:rPr>
        <w:t>作中</w:t>
      </w:r>
      <w:r>
        <w:rPr>
          <w:color w:val="231F20"/>
        </w:rPr>
        <w:t xml:space="preserve">  </w:t>
      </w:r>
      <w:r>
        <w:rPr>
          <w:color w:val="231F20"/>
        </w:rPr>
        <w:t>的数据模型管理、数据质量管理、数据安全管理等方面均可在智能化水平方面得到相应的</w:t>
      </w:r>
      <w:r>
        <w:rPr>
          <w:color w:val="231F20"/>
          <w:spacing w:val="2"/>
        </w:rPr>
        <w:t xml:space="preserve">  </w:t>
      </w:r>
      <w:r>
        <w:rPr>
          <w:color w:val="231F20"/>
          <w:spacing w:val="-9"/>
        </w:rPr>
        <w:t>提升。</w:t>
      </w:r>
    </w:p>
    <w:p>
      <w:pPr>
        <w:pStyle w:val="BodyText"/>
        <w:ind w:right="814" w:firstLine="441"/>
        <w:spacing w:before="69" w:line="278" w:lineRule="auto"/>
        <w:rPr/>
      </w:pPr>
      <w:r>
        <w:rPr>
          <w:color w:val="231F20"/>
          <w:spacing w:val="5"/>
        </w:rPr>
        <w:t>区块链具有高容灾、不可篡改、动态网络扩展、可扩展权限控制等优势，这些基础</w:t>
      </w:r>
      <w:r>
        <w:rPr>
          <w:color w:val="231F20"/>
          <w:spacing w:val="18"/>
        </w:rPr>
        <w:t xml:space="preserve"> </w:t>
      </w:r>
      <w:r>
        <w:rPr>
          <w:color w:val="231F20"/>
        </w:rPr>
        <w:t>优势体现在数据应用与数据安全方面，在数据治理中可实现数据分层及优化网络结构。应</w:t>
      </w:r>
      <w:r>
        <w:rPr>
          <w:color w:val="231F20"/>
          <w:spacing w:val="12"/>
        </w:rPr>
        <w:t xml:space="preserve"> </w:t>
      </w:r>
      <w:r>
        <w:rPr>
          <w:color w:val="231F20"/>
        </w:rPr>
        <w:t>用区块链的解决方案，将数据写入和读取等权限规则记录到链上，对数据保管进行分层处</w:t>
      </w:r>
      <w:r>
        <w:rPr>
          <w:color w:val="231F20"/>
          <w:spacing w:val="12"/>
        </w:rPr>
        <w:t xml:space="preserve"> </w:t>
      </w:r>
      <w:r>
        <w:rPr>
          <w:color w:val="231F20"/>
          <w:spacing w:val="6"/>
        </w:rPr>
        <w:t>理，通过其不可篡改和数据冗余的特性，确保数据不会丢失，并</w:t>
      </w:r>
      <w:r>
        <w:rPr>
          <w:color w:val="231F20"/>
          <w:spacing w:val="5"/>
        </w:rPr>
        <w:t>且实现了明确的责任划</w:t>
      </w:r>
      <w:r>
        <w:rPr>
          <w:color w:val="231F20"/>
        </w:rPr>
        <w:t xml:space="preserve"> </w:t>
      </w:r>
      <w:r>
        <w:rPr>
          <w:color w:val="231F20"/>
        </w:rPr>
        <w:t>分，解决了事后责任追溯难的问题，确保在数据治理过程中数据的所有权、使用权、存储</w:t>
      </w:r>
      <w:r>
        <w:rPr>
          <w:color w:val="231F20"/>
          <w:spacing w:val="11"/>
        </w:rPr>
        <w:t xml:space="preserve"> </w:t>
      </w:r>
      <w:r>
        <w:rPr>
          <w:color w:val="231F20"/>
        </w:rPr>
        <w:t>权等更有保障，增强了数据治理的可靠性。智能合约为数据共享使用提供了治理手段。智</w:t>
      </w:r>
      <w:r>
        <w:rPr>
          <w:color w:val="231F20"/>
          <w:spacing w:val="1"/>
        </w:rPr>
        <w:t xml:space="preserve"> </w:t>
      </w:r>
      <w:r>
        <w:rPr>
          <w:color w:val="231F20"/>
        </w:rPr>
        <w:t>能合约是一套以数字形式定义的承诺，承诺包含了合约参与者约定的权利和义务，由计算</w:t>
      </w:r>
      <w:r>
        <w:rPr>
          <w:color w:val="231F20"/>
          <w:spacing w:val="12"/>
        </w:rPr>
        <w:t xml:space="preserve"> </w:t>
      </w:r>
      <w:r>
        <w:rPr>
          <w:color w:val="231F20"/>
        </w:rPr>
        <w:t>机系统自动执行。基于智能合约可以有效实现针对数据</w:t>
      </w:r>
      <w:r>
        <w:rPr>
          <w:color w:val="231F20"/>
          <w:spacing w:val="-1"/>
        </w:rPr>
        <w:t>收集、共享、使用等关键环节的自</w:t>
      </w:r>
      <w:r>
        <w:rPr>
          <w:color w:val="231F20"/>
        </w:rPr>
        <w:t xml:space="preserve"> </w:t>
      </w:r>
      <w:r>
        <w:rPr>
          <w:color w:val="231F20"/>
          <w:spacing w:val="-6"/>
        </w:rPr>
        <w:t>动化治理。</w:t>
      </w:r>
    </w:p>
    <w:p>
      <w:pPr>
        <w:pStyle w:val="BodyText"/>
        <w:ind w:left="422"/>
        <w:spacing w:before="73" w:line="220" w:lineRule="auto"/>
        <w:rPr/>
      </w:pPr>
      <w:r>
        <w:pict>
          <v:shape id="_x0000_s254" style="position:absolute;margin-left:63.628pt;margin-top:3.96738pt;mso-position-vertical-relative:text;mso-position-horizontal-relative:text;width:62pt;height:9.8pt;z-index:-251290624;" filled="false" strokecolor="#231F20" strokeweight="0.17pt" coordsize="1240,196" coordorigin="0,0" path="m23,33c14,45,7,50,1,50l9,66c14,62,25,59,41,58c56,56,69,55,78,54c80,58,81,62,82,65c83,68,85,68,88,65c91,62,92,59,93,55c93,51,91,46,86,42c81,37,74,32,64,27l63,29c67,34,72,41,77,50l14,52c20,47,27,40,36,30c44,21,52,15,58,14l43,1c39,11,33,22,23,33m24,187l24,137l68,137l68,166c68,172,66,175,62,175c58,175,51,175,41,173l41,177c54,181,61,186,62,193c74,188,79,181,78,170l78,87l85,81l73,70l66,78l24,78l12,72c12,80,13,99,13,130c13,161,12,182,12,193l24,187xm68,104l24,104l24,83l68,83l68,104xm68,132l24,132l24,109l68,109l68,132xm123,87l158,87c170,87,178,84,182,77c177,75,174,72,173,66c172,61,171,55,170,49l167,49c167,58,167,65,166,70c166,75,163,78,157,78l129,78c121,78,117,75,117,69l117,54c129,49,144,43,160,35l167,34l155,20c146,31,134,41,117,50l117,21l124,14l105,6c106,12,106,34,106,73c106,83,112,88,123,87m122,187l160,187c173,186,181,182,184,174c180,173,177,170,176,165c174,160,173,152,173,143l169,143c169,151,168,159,168,166c168,173,165,176,159,177l127,177c119,177,114,173,114,164l114,144c129,137,145,129,163,119l170,119l157,104c148,117,134,129,114,139l114,113l122,107l103,98c103,105,104,129,104,172c104,182,110,187,122,187m1055,169l1062,163c1083,152,1103,143,1124,133l1123,130l1090,141l1090,90l1122,90l1108,75l1098,85l1090,85l1090,35l1122,35l1108,20l1098,30l1046,30l1054,37c1060,36,1066,35,1073,35l1079,35l1079,85l1048,85l1055,92c1061,91,1068,90,1075,90l1079,90l1079,145c1073,147,1062,150,1045,155l1055,169xm1137,110l1137,102l1168,102l1168,137l1123,137l1130,145c1136,143,1143,142,1150,142l1168,142l1168,176l1099,176l1106,183c1112,182,1119,181,1126,181l1237,181l1223,165l1212,176l1178,176l1178,142l1225,142l1211,128l1201,137l1178,137l1178,102l1207,102l1207,112l1218,107c1217,97,1217,84,1217,66l1217,27l1223,23l1211,13l1205,20l1137,20l1127,13c1127,30,1127,47,1127,64c1127,80,1127,97,1127,114l1137,110xm1168,58l1137,58l1137,25l1168,25l1168,58xm1207,58l1178,58l1178,25l1207,25l1207,58xm1168,97l1137,97l1137,63l1168,63l1168,97xm1207,97l1178,97l1178,63l1207,63l1207,97xe">
            <v:stroke joinstyle="miter" miterlimit="4"/>
          </v:shape>
        </w:pict>
      </w:r>
      <w:r>
        <w:rPr>
          <w:rFonts w:ascii="Times New Roman" w:hAnsi="Times New Roman" w:eastAsia="Times New Roman" w:cs="Times New Roman"/>
          <w:color w:val="231F20"/>
          <w:spacing w:val="-1"/>
        </w:rPr>
        <w:t>2. </w:t>
      </w:r>
      <w:r>
        <w:rPr>
          <w:color w:val="231F20"/>
          <w:spacing w:val="-1"/>
        </w:rPr>
        <w:t>平台赋能与数据治理</w:t>
      </w:r>
    </w:p>
    <w:p>
      <w:pPr>
        <w:pStyle w:val="BodyText"/>
        <w:ind w:right="743" w:firstLine="425"/>
        <w:spacing w:before="72" w:line="272" w:lineRule="auto"/>
        <w:rPr/>
      </w:pPr>
      <w:r>
        <w:rPr>
          <w:color w:val="231F20"/>
        </w:rPr>
        <w:t>在数字经济时代，数据成为新型的关键生产要素，同时也是驱动产业高质量发展的强</w:t>
      </w:r>
      <w:r>
        <w:rPr>
          <w:color w:val="231F20"/>
          <w:spacing w:val="18"/>
        </w:rPr>
        <w:t xml:space="preserve"> </w:t>
      </w:r>
      <w:r>
        <w:rPr>
          <w:color w:val="231F20"/>
        </w:rPr>
        <w:t>劲引擎。目前，各产业逐渐向数字化转型，其中最重要的方式之一是建立数字化平台，</w:t>
      </w:r>
      <w:r>
        <w:rPr>
          <w:color w:val="231F20"/>
          <w:spacing w:val="-1"/>
        </w:rPr>
        <w:t>创 </w:t>
      </w:r>
      <w:r>
        <w:rPr>
          <w:color w:val="231F20"/>
        </w:rPr>
        <w:t>新发展平台经济，在新一代数字科技的支撑和引领下，以数据为关键要素，以释放数据</w:t>
      </w:r>
      <w:r>
        <w:rPr>
          <w:color w:val="231F20"/>
          <w:spacing w:val="-1"/>
        </w:rPr>
        <w:t>价 </w:t>
      </w:r>
      <w:r>
        <w:rPr>
          <w:color w:val="231F20"/>
          <w:spacing w:val="2"/>
        </w:rPr>
        <w:t>值为核心。这有助于提高数据的准确性，加快数据洞察，打破数据孤岛，通过统一平台，</w:t>
      </w:r>
      <w:r>
        <w:rPr>
          <w:color w:val="231F20"/>
          <w:spacing w:val="5"/>
        </w:rPr>
        <w:t xml:space="preserve"> </w:t>
      </w:r>
      <w:r>
        <w:rPr>
          <w:color w:val="231F20"/>
        </w:rPr>
        <w:t>链接、管理所有分散、异构的数据资产，实现数</w:t>
      </w:r>
      <w:r>
        <w:rPr>
          <w:color w:val="231F20"/>
          <w:spacing w:val="-1"/>
        </w:rPr>
        <w:t>据治理“无死角”。</w:t>
      </w:r>
    </w:p>
    <w:p>
      <w:pPr>
        <w:pStyle w:val="BodyText"/>
        <w:ind w:left="426"/>
        <w:spacing w:before="75" w:line="220" w:lineRule="auto"/>
        <w:rPr/>
      </w:pPr>
      <w:r>
        <w:rPr>
          <w:rFonts w:ascii="Times New Roman" w:hAnsi="Times New Roman" w:eastAsia="Times New Roman" w:cs="Times New Roman"/>
          <w:color w:val="231F20"/>
          <w:spacing w:val="-1"/>
        </w:rPr>
        <w:t>3. </w:t>
      </w:r>
      <w:r>
        <w:rPr>
          <w:color w:val="231F20"/>
          <w:spacing w:val="-1"/>
        </w:rPr>
        <w:t>行业引领与数据治理</w:t>
      </w:r>
    </w:p>
    <w:p>
      <w:pPr>
        <w:pStyle w:val="BodyText"/>
        <w:ind w:right="804" w:firstLine="426"/>
        <w:spacing w:before="73" w:line="274" w:lineRule="auto"/>
        <w:rPr/>
      </w:pPr>
      <w:r>
        <w:rPr>
          <w:color w:val="231F20"/>
          <w:spacing w:val="6"/>
        </w:rPr>
        <w:t>作为核心生产要素，数据的核心科学决策作用日渐凸显，数据治理</w:t>
      </w:r>
      <w:r>
        <w:rPr>
          <w:color w:val="231F20"/>
          <w:spacing w:val="5"/>
        </w:rPr>
        <w:t>对于各行各业的</w:t>
      </w:r>
      <w:r>
        <w:rPr>
          <w:color w:val="231F20"/>
        </w:rPr>
        <w:t xml:space="preserve"> </w:t>
      </w:r>
      <w:r>
        <w:rPr>
          <w:color w:val="231F20"/>
        </w:rPr>
        <w:t>社会价值和经济作用来说，具有十分重要的意义。释放数据的价值需要构建科学合理的数</w:t>
      </w:r>
      <w:r>
        <w:rPr>
          <w:color w:val="231F20"/>
          <w:spacing w:val="12"/>
        </w:rPr>
        <w:t xml:space="preserve"> </w:t>
      </w:r>
      <w:r>
        <w:rPr>
          <w:color w:val="231F20"/>
        </w:rPr>
        <w:t>据治理体系，各类行业作为数据治理的重要参与者，均在不断尝试培育有序有效的数据市</w:t>
      </w:r>
      <w:r>
        <w:rPr>
          <w:color w:val="231F20"/>
          <w:spacing w:val="9"/>
        </w:rPr>
        <w:t xml:space="preserve"> </w:t>
      </w:r>
      <w:r>
        <w:rPr>
          <w:color w:val="231F20"/>
          <w:spacing w:val="1"/>
        </w:rPr>
        <w:t>场。众多行业，如医疗、教育等，通过数据的有效</w:t>
      </w:r>
      <w:r>
        <w:rPr>
          <w:color w:val="231F20"/>
        </w:rPr>
        <w:t>供给，培育数据新业态，以应用场景牵 </w:t>
      </w:r>
      <w:r>
        <w:rPr>
          <w:color w:val="231F20"/>
        </w:rPr>
        <w:t>引带动数据要素市场的繁荣发展，以领域为主体不断探索数据治理体系，不断进行行业升</w:t>
      </w:r>
      <w:r>
        <w:rPr>
          <w:color w:val="231F20"/>
          <w:spacing w:val="11"/>
        </w:rPr>
        <w:t xml:space="preserve"> </w:t>
      </w:r>
      <w:r>
        <w:rPr>
          <w:color w:val="231F20"/>
          <w:spacing w:val="-1"/>
        </w:rPr>
        <w:t>级，以技术为支撑，以市场为纽带，形成良性的数据资源，为数据治理提供新的机遇。</w:t>
      </w:r>
    </w:p>
    <w:p>
      <w:pPr>
        <w:ind w:left="17"/>
        <w:spacing w:before="214" w:line="201" w:lineRule="auto"/>
        <w:rPr>
          <w:sz w:val="23"/>
          <w:szCs w:val="23"/>
        </w:rPr>
      </w:pPr>
      <w:r>
        <w:rPr>
          <w:rFonts w:ascii="Arial" w:hAnsi="Arial" w:eastAsia="Arial" w:cs="Arial"/>
          <w:sz w:val="23"/>
          <w:szCs w:val="23"/>
          <w:u w:val="single" w:color="76787B"/>
          <w:color w:val="231F20"/>
          <w:spacing w:val="-3"/>
        </w:rPr>
        <w:t>1.4.4</w:t>
      </w:r>
      <w:r>
        <w:rPr>
          <w:rFonts w:ascii="Arial" w:hAnsi="Arial" w:eastAsia="Arial" w:cs="Arial"/>
          <w:sz w:val="23"/>
          <w:szCs w:val="23"/>
          <w:u w:val="single" w:color="76787B"/>
          <w:color w:val="231F20"/>
          <w:spacing w:val="18"/>
        </w:rPr>
        <w:t xml:space="preserve">   </w:t>
      </w:r>
      <w:r>
        <w:rPr>
          <w:rFonts w:ascii="Microsoft YaHei" w:hAnsi="Microsoft YaHei" w:eastAsia="Microsoft YaHei" w:cs="Microsoft YaHei"/>
          <w:sz w:val="23"/>
          <w:szCs w:val="23"/>
          <w:u w:val="single" w:color="76787B"/>
          <w:color w:val="231F20"/>
          <w:spacing w:val="-3"/>
        </w:rPr>
        <w:t>数据治理的发展趋势</w:t>
      </w:r>
      <w:r>
        <w:rPr>
          <w:sz w:val="23"/>
          <w:szCs w:val="23"/>
          <w:position w:val="-7"/>
        </w:rPr>
        <w:drawing>
          <wp:inline distT="0" distB="0" distL="0" distR="0">
            <wp:extent cx="83319" cy="187198"/>
            <wp:effectExtent l="0" t="0" r="0" b="0"/>
            <wp:docPr id="212" name="IM 212"/>
            <wp:cNvGraphicFramePr/>
            <a:graphic>
              <a:graphicData uri="http://schemas.openxmlformats.org/drawingml/2006/picture">
                <pic:pic>
                  <pic:nvPicPr>
                    <pic:cNvPr id="212" name="IM 212"/>
                    <pic:cNvPicPr/>
                  </pic:nvPicPr>
                  <pic:blipFill>
                    <a:blip r:embed="rId137"/>
                    <a:stretch>
                      <a:fillRect/>
                    </a:stretch>
                  </pic:blipFill>
                  <pic:spPr>
                    <a:xfrm rot="0">
                      <a:off x="0" y="0"/>
                      <a:ext cx="83319" cy="187198"/>
                    </a:xfrm>
                    <a:prstGeom prst="rect">
                      <a:avLst/>
                    </a:prstGeom>
                  </pic:spPr>
                </pic:pic>
              </a:graphicData>
            </a:graphic>
          </wp:inline>
        </w:drawing>
      </w:r>
    </w:p>
    <w:p>
      <w:pPr>
        <w:pStyle w:val="BodyText"/>
        <w:ind w:right="728" w:firstLine="427"/>
        <w:spacing w:before="176" w:line="269" w:lineRule="auto"/>
        <w:jc w:val="both"/>
        <w:rPr/>
      </w:pPr>
      <w:r>
        <w:pict>
          <v:shape id="_x0000_s256" style="position:absolute;margin-left:418.14pt;margin-top:25.3161pt;mso-position-vertical-relative:text;mso-position-horizontal-relative:text;width:31.8pt;height:11.25pt;z-index:252027904;" filled="false" stroked="false" type="#_x0000_t202">
            <v:fill on="false"/>
            <v:stroke on="false"/>
            <v:path/>
            <v:imagedata o:title=""/>
            <o:lock v:ext="edit" aspectratio="false"/>
            <v:textbox inset="0mm,0mm,0mm,0mm">
              <w:txbxContent>
                <w:p>
                  <w:pPr>
                    <w:ind w:left="20"/>
                    <w:spacing w:before="20" w:line="17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31F20"/>
                      <w:spacing w:val="-1"/>
                    </w:rPr>
                    <w:t>视频讲解</w:t>
                  </w:r>
                </w:p>
              </w:txbxContent>
            </v:textbox>
          </v:shape>
        </w:pict>
      </w:r>
      <w:r>
        <w:rPr>
          <w:color w:val="231F20"/>
        </w:rPr>
        <w:t>数据正重塑着经济与社会。从生产到生活，从工业到服务业，从产业端到消费端，越 </w:t>
      </w:r>
      <w:r>
        <w:rPr>
          <w:color w:val="231F20"/>
        </w:rPr>
        <w:t>来越多地呈现出数据化的态势，数据已经开始重新定义一切。在过去几年，数据治理作为</w:t>
      </w:r>
      <w:r>
        <w:rPr>
          <w:color w:val="231F20"/>
          <w:spacing w:val="5"/>
        </w:rPr>
        <w:t xml:space="preserve">  </w:t>
      </w:r>
      <w:r>
        <w:rPr>
          <w:color w:val="231F20"/>
          <w:spacing w:val="3"/>
        </w:rPr>
        <w:t>数据的核心管理手段，得到了国家、政府、</w:t>
      </w:r>
      <w:r>
        <w:rPr>
          <w:color w:val="231F20"/>
          <w:spacing w:val="2"/>
        </w:rPr>
        <w:t>企业、个人的高度关注。伴随着理论、法律、</w:t>
      </w:r>
      <w:r>
        <w:rPr>
          <w:color w:val="231F20"/>
        </w:rPr>
        <w:t xml:space="preserve"> </w:t>
      </w:r>
      <w:r>
        <w:rPr>
          <w:color w:val="231F20"/>
        </w:rPr>
        <w:t>政策、产业的一系列实质性变化，各方正在将数据治理纳入到政务活动、企业治理、经营</w:t>
      </w:r>
    </w:p>
    <w:p>
      <w:pPr>
        <w:spacing w:line="269" w:lineRule="auto"/>
        <w:sectPr>
          <w:footerReference w:type="default" r:id="rId134"/>
          <w:pgSz w:w="10489" w:h="14741"/>
          <w:pgMar w:top="679" w:right="329" w:bottom="734" w:left="1141" w:header="0" w:footer="552" w:gutter="0"/>
        </w:sectPr>
        <w:rPr/>
      </w:pPr>
    </w:p>
    <w:p>
      <w:pPr>
        <w:spacing w:before="78" w:line="215" w:lineRule="auto"/>
        <w:rPr>
          <w:rFonts w:ascii="Microsoft YaHei" w:hAnsi="Microsoft YaHei" w:eastAsia="Microsoft YaHei" w:cs="Microsoft YaHei"/>
          <w:sz w:val="18"/>
          <w:szCs w:val="18"/>
        </w:rPr>
      </w:pPr>
      <w:r>
        <w:drawing>
          <wp:anchor distT="0" distB="0" distL="0" distR="0" simplePos="0" relativeHeight="252055552" behindDoc="1" locked="0" layoutInCell="1" allowOverlap="1">
            <wp:simplePos x="0" y="0"/>
            <wp:positionH relativeFrom="column">
              <wp:posOffset>108299</wp:posOffset>
            </wp:positionH>
            <wp:positionV relativeFrom="paragraph">
              <wp:posOffset>79371</wp:posOffset>
            </wp:positionV>
            <wp:extent cx="83329" cy="46985"/>
            <wp:effectExtent l="0" t="0" r="0" b="0"/>
            <wp:wrapNone/>
            <wp:docPr id="214" name="IM 214"/>
            <wp:cNvGraphicFramePr/>
            <a:graphic>
              <a:graphicData uri="http://schemas.openxmlformats.org/drawingml/2006/picture">
                <pic:pic>
                  <pic:nvPicPr>
                    <pic:cNvPr id="214" name="IM 214"/>
                    <pic:cNvPicPr/>
                  </pic:nvPicPr>
                  <pic:blipFill>
                    <a:blip r:embed="rId139"/>
                    <a:stretch>
                      <a:fillRect/>
                    </a:stretch>
                  </pic:blipFill>
                  <pic:spPr>
                    <a:xfrm rot="0">
                      <a:off x="0" y="0"/>
                      <a:ext cx="83329" cy="46985"/>
                    </a:xfrm>
                    <a:prstGeom prst="rect">
                      <a:avLst/>
                    </a:prstGeom>
                  </pic:spPr>
                </pic:pic>
              </a:graphicData>
            </a:graphic>
          </wp:anchor>
        </w:drawing>
      </w:r>
      <w:r>
        <w:drawing>
          <wp:anchor distT="0" distB="0" distL="0" distR="0" simplePos="0" relativeHeight="252056576" behindDoc="1" locked="0" layoutInCell="1" allowOverlap="1">
            <wp:simplePos x="0" y="0"/>
            <wp:positionH relativeFrom="column">
              <wp:posOffset>38548</wp:posOffset>
            </wp:positionH>
            <wp:positionV relativeFrom="paragraph">
              <wp:posOffset>120488</wp:posOffset>
            </wp:positionV>
            <wp:extent cx="153080" cy="75618"/>
            <wp:effectExtent l="0" t="0" r="0" b="0"/>
            <wp:wrapNone/>
            <wp:docPr id="216" name="IM 216"/>
            <wp:cNvGraphicFramePr/>
            <a:graphic>
              <a:graphicData uri="http://schemas.openxmlformats.org/drawingml/2006/picture">
                <pic:pic>
                  <pic:nvPicPr>
                    <pic:cNvPr id="216" name="IM 216"/>
                    <pic:cNvPicPr/>
                  </pic:nvPicPr>
                  <pic:blipFill>
                    <a:blip r:embed="rId140"/>
                    <a:stretch>
                      <a:fillRect/>
                    </a:stretch>
                  </pic:blipFill>
                  <pic:spPr>
                    <a:xfrm rot="0">
                      <a:off x="0" y="0"/>
                      <a:ext cx="153080" cy="75618"/>
                    </a:xfrm>
                    <a:prstGeom prst="rect">
                      <a:avLst/>
                    </a:prstGeom>
                  </pic:spPr>
                </pic:pic>
              </a:graphicData>
            </a:graphic>
          </wp:anchor>
        </w:drawing>
      </w:r>
      <w:r>
        <w:rPr>
          <w:rFonts w:ascii="Microsoft YaHei" w:hAnsi="Microsoft YaHei" w:eastAsia="Microsoft YaHei" w:cs="Microsoft YaHei"/>
          <w:sz w:val="18"/>
          <w:szCs w:val="18"/>
          <w:color w:val="D9D9D9"/>
          <w:position w:val="-5"/>
        </w:rPr>
        <w:drawing>
          <wp:inline distT="0" distB="0" distL="0" distR="0">
            <wp:extent cx="369303" cy="250002"/>
            <wp:effectExtent l="0" t="0" r="0" b="0"/>
            <wp:docPr id="218" name="IM 218"/>
            <wp:cNvGraphicFramePr/>
            <a:graphic>
              <a:graphicData uri="http://schemas.openxmlformats.org/drawingml/2006/picture">
                <pic:pic>
                  <pic:nvPicPr>
                    <pic:cNvPr id="218" name="IM 218"/>
                    <pic:cNvPicPr/>
                  </pic:nvPicPr>
                  <pic:blipFill>
                    <a:blip r:embed="rId141"/>
                    <a:stretch>
                      <a:fillRect/>
                    </a:stretch>
                  </pic:blipFill>
                  <pic:spPr>
                    <a:xfrm rot="0">
                      <a:off x="0" y="0"/>
                      <a:ext cx="369303" cy="250002"/>
                    </a:xfrm>
                    <a:prstGeom prst="rect">
                      <a:avLst/>
                    </a:prstGeom>
                  </pic:spPr>
                </pic:pic>
              </a:graphicData>
            </a:graphic>
          </wp:inline>
        </w:drawing>
      </w:r>
      <w:r>
        <w:rPr>
          <w:rFonts w:ascii="Microsoft YaHei" w:hAnsi="Microsoft YaHei" w:eastAsia="Microsoft YaHei" w:cs="Microsoft YaHei"/>
          <w:sz w:val="18"/>
          <w:szCs w:val="18"/>
          <w:color w:val="D9D9D9"/>
          <w:spacing w:val="49"/>
        </w:rPr>
        <w:t xml:space="preserve"> </w:t>
      </w:r>
      <w:r>
        <w:rPr>
          <w:rFonts w:ascii="Microsoft YaHei" w:hAnsi="Microsoft YaHei" w:eastAsia="Microsoft YaHei" w:cs="Microsoft YaHei"/>
          <w:sz w:val="18"/>
          <w:szCs w:val="18"/>
          <w:color w:val="D9D9D9"/>
          <w:spacing w:val="2"/>
        </w:rPr>
        <w:t>数据治理</w:t>
      </w:r>
      <w:r>
        <w:rPr>
          <w:rFonts w:ascii="Microsoft YaHei" w:hAnsi="Microsoft YaHei" w:eastAsia="Microsoft YaHei" w:cs="Microsoft YaHei"/>
          <w:sz w:val="18"/>
          <w:szCs w:val="18"/>
          <w:color w:val="D9D9D9"/>
          <w:spacing w:val="48"/>
          <w:w w:val="101"/>
        </w:rPr>
        <w:t xml:space="preserve"> </w:t>
      </w:r>
      <w:r>
        <w:rPr>
          <w:rFonts w:ascii="Microsoft YaHei" w:hAnsi="Microsoft YaHei" w:eastAsia="Microsoft YaHei" w:cs="Microsoft YaHei"/>
          <w:sz w:val="18"/>
          <w:szCs w:val="18"/>
          <w:color w:val="4B4C4D"/>
          <w:spacing w:val="2"/>
        </w:rPr>
        <w:t>理论、方法与实践</w:t>
      </w:r>
    </w:p>
    <w:p>
      <w:pPr>
        <w:spacing w:line="334" w:lineRule="auto"/>
        <w:rPr>
          <w:rFonts w:ascii="Arial"/>
          <w:sz w:val="21"/>
        </w:rPr>
      </w:pPr>
      <w:r/>
    </w:p>
    <w:p>
      <w:pPr>
        <w:pStyle w:val="BodyText"/>
        <w:ind w:left="580" w:right="60" w:firstLine="1"/>
        <w:spacing w:before="68" w:line="253" w:lineRule="auto"/>
        <w:rPr/>
      </w:pPr>
      <w:r>
        <w:rPr>
          <w:color w:val="231F20"/>
        </w:rPr>
        <w:t>管理等领域，数据治理的理念、法规、方法、工具等也得到了蓬勃发展。随着各行业、各</w:t>
      </w:r>
      <w:r>
        <w:rPr>
          <w:color w:val="231F20"/>
          <w:spacing w:val="17"/>
        </w:rPr>
        <w:t xml:space="preserve"> </w:t>
      </w:r>
      <w:r>
        <w:rPr>
          <w:color w:val="231F20"/>
          <w:spacing w:val="-8"/>
        </w:rPr>
        <w:t>组织对数据治理实践的推进，</w:t>
      </w:r>
      <w:r>
        <w:rPr>
          <w:color w:val="231F20"/>
          <w:spacing w:val="71"/>
        </w:rPr>
        <w:t xml:space="preserve"> </w:t>
      </w:r>
      <w:r>
        <w:rPr>
          <w:color w:val="231F20"/>
          <w:spacing w:val="-8"/>
        </w:rPr>
        <w:t>一些变化与趋势正在逐步显现。</w:t>
      </w:r>
    </w:p>
    <w:p>
      <w:pPr>
        <w:pStyle w:val="BodyText"/>
        <w:ind w:left="577" w:firstLine="425"/>
        <w:spacing w:before="78" w:line="277" w:lineRule="auto"/>
        <w:jc w:val="both"/>
        <w:rPr/>
      </w:pPr>
      <w:r>
        <w:rPr>
          <w:color w:val="231F20"/>
          <w:spacing w:val="2"/>
        </w:rPr>
        <w:t>趋势一：数据治理成为数字化转型的核心要素。数据经济作为增长新引擎持续发力，</w:t>
      </w:r>
      <w:r>
        <w:rPr>
          <w:color w:val="231F20"/>
          <w:spacing w:val="4"/>
        </w:rPr>
        <w:t xml:space="preserve"> </w:t>
      </w:r>
      <w:r>
        <w:rPr>
          <w:color w:val="231F20"/>
          <w:spacing w:val="1"/>
        </w:rPr>
        <w:t>其热度不减，“十四五”规划时期，我国数字经济转</w:t>
      </w:r>
      <w:r>
        <w:rPr>
          <w:color w:val="231F20"/>
        </w:rPr>
        <w:t>向深化应用、规范发展、普惠共享的 </w:t>
      </w:r>
      <w:r>
        <w:rPr>
          <w:color w:val="231F20"/>
          <w:spacing w:val="1"/>
        </w:rPr>
        <w:t>新阶段，“数字化转型”仍是很多企业近年的重要战</w:t>
      </w:r>
      <w:r>
        <w:rPr>
          <w:color w:val="231F20"/>
        </w:rPr>
        <w:t>略部署之一。同时，以云计算、大数 </w:t>
      </w:r>
      <w:r>
        <w:rPr>
          <w:color w:val="231F20"/>
        </w:rPr>
        <w:t>据、人工智能、区块链等为代表的数字技术不断涌现，快速向各领域进行深度融合，加</w:t>
      </w:r>
      <w:r>
        <w:rPr>
          <w:color w:val="231F20"/>
          <w:spacing w:val="-1"/>
        </w:rPr>
        <w:t>快 </w:t>
      </w:r>
      <w:r>
        <w:rPr>
          <w:color w:val="231F20"/>
          <w:spacing w:val="2"/>
        </w:rPr>
        <w:t>了数字化转型的进程，数据量和数据价值密度都呈现出爆炸式的增长。海量的数据资源，</w:t>
      </w:r>
      <w:r>
        <w:rPr>
          <w:color w:val="231F20"/>
          <w:spacing w:val="5"/>
        </w:rPr>
        <w:t xml:space="preserve"> </w:t>
      </w:r>
      <w:r>
        <w:rPr>
          <w:color w:val="231F20"/>
        </w:rPr>
        <w:t>对数据采集、存储、分析、处理的工具、计算、建模应用等方面的数据能力提出了更高</w:t>
      </w:r>
      <w:r>
        <w:rPr>
          <w:color w:val="231F20"/>
          <w:spacing w:val="-1"/>
        </w:rPr>
        <w:t>的 </w:t>
      </w:r>
      <w:r>
        <w:rPr>
          <w:color w:val="231F20"/>
        </w:rPr>
        <w:t>要求。数据治理成为实现数据、技术、流程和组织的职能协同、同台优化和互动创新的</w:t>
      </w:r>
      <w:r>
        <w:rPr>
          <w:color w:val="231F20"/>
          <w:spacing w:val="-1"/>
        </w:rPr>
        <w:t>主 </w:t>
      </w:r>
      <w:r>
        <w:rPr>
          <w:color w:val="231F20"/>
        </w:rPr>
        <w:t>要依托环节。数据治理使数据成为数字化转型的关键驱动要素，赋能国家战略与企业运</w:t>
      </w:r>
      <w:r>
        <w:rPr>
          <w:color w:val="231F20"/>
          <w:spacing w:val="-1"/>
        </w:rPr>
        <w:t>营 </w:t>
      </w:r>
      <w:r>
        <w:rPr>
          <w:color w:val="231F20"/>
          <w:spacing w:val="-3"/>
        </w:rPr>
        <w:t>的创新发展，深入挖掘数据资产价值。</w:t>
      </w:r>
    </w:p>
    <w:p>
      <w:pPr>
        <w:pStyle w:val="BodyText"/>
        <w:ind w:left="577" w:right="60" w:firstLine="425"/>
        <w:spacing w:before="71" w:line="278" w:lineRule="auto"/>
        <w:jc w:val="both"/>
        <w:rPr/>
      </w:pPr>
      <w:r>
        <w:rPr>
          <w:color w:val="231F20"/>
        </w:rPr>
        <w:t>趋势二：数据治理依托人工智能新技术走向智能化。数据治理和人工智能作为近几年</w:t>
      </w:r>
      <w:r>
        <w:rPr>
          <w:color w:val="231F20"/>
          <w:spacing w:val="18"/>
        </w:rPr>
        <w:t xml:space="preserve"> </w:t>
      </w:r>
      <w:r>
        <w:rPr>
          <w:color w:val="231F20"/>
        </w:rPr>
        <w:t>的两大浪潮，二者之间一直存在相辅相成的关系。一方面，数据治理为人工智能奠定了基</w:t>
      </w:r>
      <w:r>
        <w:rPr>
          <w:color w:val="231F20"/>
          <w:spacing w:val="12"/>
        </w:rPr>
        <w:t xml:space="preserve"> </w:t>
      </w:r>
      <w:r>
        <w:rPr>
          <w:color w:val="231F20"/>
        </w:rPr>
        <w:t>础。通过数据治理，可以提升数据质量、增强数据合规性，从而为人工智能的应用提供高</w:t>
      </w:r>
      <w:r>
        <w:rPr>
          <w:color w:val="231F20"/>
          <w:spacing w:val="11"/>
        </w:rPr>
        <w:t xml:space="preserve"> </w:t>
      </w:r>
      <w:r>
        <w:rPr>
          <w:color w:val="231F20"/>
        </w:rPr>
        <w:t>质量的合规数据。另一方面，人工智能对数据治理存在诸多优化作用。人工智能有助于实</w:t>
      </w:r>
      <w:r>
        <w:rPr>
          <w:color w:val="231F20"/>
          <w:spacing w:val="10"/>
        </w:rPr>
        <w:t xml:space="preserve"> </w:t>
      </w:r>
      <w:r>
        <w:rPr>
          <w:color w:val="231F20"/>
        </w:rPr>
        <w:t>现概念模型与计算机模型的完美融合，从而优化数据模型管理；有助于实现对非结构化数</w:t>
      </w:r>
      <w:r>
        <w:rPr>
          <w:color w:val="231F20"/>
          <w:spacing w:val="12"/>
        </w:rPr>
        <w:t xml:space="preserve"> </w:t>
      </w:r>
      <w:r>
        <w:rPr>
          <w:color w:val="231F20"/>
        </w:rPr>
        <w:t>据的采集和关键信息的提取，并帮助维护、整合碎片数据；有助于定义转换规则，提取数</w:t>
      </w:r>
      <w:r>
        <w:rPr>
          <w:color w:val="231F20"/>
          <w:spacing w:val="11"/>
        </w:rPr>
        <w:t xml:space="preserve"> </w:t>
      </w:r>
      <w:r>
        <w:rPr>
          <w:color w:val="231F20"/>
        </w:rPr>
        <w:t>据质量评估维度，通过监督学习、深度学习来实现对数据清洗和数据质量的效果评估，最</w:t>
      </w:r>
      <w:r>
        <w:rPr>
          <w:color w:val="231F20"/>
          <w:spacing w:val="10"/>
        </w:rPr>
        <w:t xml:space="preserve"> </w:t>
      </w:r>
      <w:r>
        <w:rPr>
          <w:color w:val="231F20"/>
        </w:rPr>
        <w:t>大化地实现数据质量的动态提升；有助于推进数据分级分类，促进数据安全保障体系的完</w:t>
      </w:r>
      <w:r>
        <w:rPr>
          <w:color w:val="231F20"/>
          <w:spacing w:val="11"/>
        </w:rPr>
        <w:t xml:space="preserve"> </w:t>
      </w:r>
      <w:r>
        <w:rPr>
          <w:color w:val="231F20"/>
          <w:spacing w:val="-3"/>
        </w:rPr>
        <w:t>善，进一步保障数据安全。</w:t>
      </w:r>
    </w:p>
    <w:p>
      <w:pPr>
        <w:pStyle w:val="BodyText"/>
        <w:ind w:left="577" w:right="1" w:firstLine="425"/>
        <w:spacing w:before="77" w:line="278" w:lineRule="auto"/>
        <w:jc w:val="both"/>
        <w:rPr/>
      </w:pPr>
      <w:r>
        <w:rPr>
          <w:color w:val="231F20"/>
        </w:rPr>
        <w:t>趋势三：数据治理从成本中心向价值中心演进。传统的数据治理往往聚焦于政府或者</w:t>
      </w:r>
      <w:r>
        <w:rPr>
          <w:color w:val="231F20"/>
          <w:spacing w:val="18"/>
        </w:rPr>
        <w:t xml:space="preserve"> </w:t>
      </w:r>
      <w:r>
        <w:rPr>
          <w:color w:val="231F20"/>
        </w:rPr>
        <w:t>企业的内部数据能力建设。但在目前数字化转型的大背景下，数据要素的激活、数据</w:t>
      </w:r>
      <w:r>
        <w:rPr>
          <w:color w:val="231F20"/>
          <w:spacing w:val="-1"/>
        </w:rPr>
        <w:t>价值 </w:t>
      </w:r>
      <w:r>
        <w:rPr>
          <w:color w:val="231F20"/>
        </w:rPr>
        <w:t>的发挥、数据服务的建立与开放逐渐成为国家、企业在进行数据治理时的关注重点，</w:t>
      </w:r>
      <w:r>
        <w:rPr>
          <w:color w:val="231F20"/>
          <w:spacing w:val="-1"/>
        </w:rPr>
        <w:t>数据 </w:t>
      </w:r>
      <w:r>
        <w:rPr>
          <w:color w:val="231F20"/>
        </w:rPr>
        <w:t>治理的定位逐渐向价值中心演进，更注重效能。这与数据治理的直接目标是一致的，</w:t>
      </w:r>
      <w:r>
        <w:rPr>
          <w:color w:val="231F20"/>
          <w:spacing w:val="-1"/>
        </w:rPr>
        <w:t>即挖 </w:t>
      </w:r>
      <w:r>
        <w:rPr>
          <w:color w:val="231F20"/>
        </w:rPr>
        <w:t>掘和释放隐藏在数据中的巨大价值。我国绝大多数行业领域和政府部门、企事业单位</w:t>
      </w:r>
      <w:r>
        <w:rPr>
          <w:color w:val="231F20"/>
          <w:spacing w:val="-1"/>
        </w:rPr>
        <w:t>及其 </w:t>
      </w:r>
      <w:r>
        <w:rPr>
          <w:color w:val="231F20"/>
        </w:rPr>
        <w:t>他社会组织的数据在整体数据资源体系中占据着巨大的体量，其数据质量水平也是数</w:t>
      </w:r>
      <w:r>
        <w:rPr>
          <w:color w:val="231F20"/>
          <w:spacing w:val="-1"/>
        </w:rPr>
        <w:t>据资 </w:t>
      </w:r>
      <w:r>
        <w:rPr>
          <w:color w:val="231F20"/>
        </w:rPr>
        <w:t>源体系中最好的部分。这些数据在全面、准确地反映客观事物的性质和状态方面更加</w:t>
      </w:r>
      <w:r>
        <w:rPr>
          <w:color w:val="231F20"/>
          <w:spacing w:val="-1"/>
        </w:rPr>
        <w:t>值得 </w:t>
      </w:r>
      <w:r>
        <w:rPr>
          <w:color w:val="231F20"/>
          <w:spacing w:val="2"/>
        </w:rPr>
        <w:t>信赖和依靠，且更易于查找和被获取，更便于被利用。与传统文献形态的信息资源相比，</w:t>
      </w:r>
      <w:r>
        <w:rPr>
          <w:color w:val="231F20"/>
          <w:spacing w:val="4"/>
        </w:rPr>
        <w:t xml:space="preserve"> </w:t>
      </w:r>
      <w:r>
        <w:rPr>
          <w:color w:val="231F20"/>
        </w:rPr>
        <w:t>数字化的数据形态更易于被功能强大的信息系统、信息技术高速和有效处理，从</w:t>
      </w:r>
      <w:r>
        <w:rPr>
          <w:color w:val="231F20"/>
          <w:spacing w:val="-1"/>
        </w:rPr>
        <w:t>而发挥出</w:t>
      </w:r>
      <w:r>
        <w:rPr>
          <w:color w:val="231F20"/>
        </w:rPr>
        <w:t xml:space="preserve">  </w:t>
      </w:r>
      <w:r>
        <w:rPr>
          <w:color w:val="231F20"/>
          <w:spacing w:val="-1"/>
        </w:rPr>
        <w:t>巨大的作用。而数据治理是数据开发、利用的保障，更是数据开发、利用功效的放大器。</w:t>
      </w:r>
    </w:p>
    <w:p>
      <w:pPr>
        <w:pStyle w:val="BodyText"/>
        <w:ind w:left="577" w:firstLine="425"/>
        <w:spacing w:before="70" w:line="277" w:lineRule="auto"/>
        <w:jc w:val="both"/>
        <w:rPr/>
      </w:pPr>
      <w:r>
        <w:rPr>
          <w:color w:val="231F20"/>
          <w:spacing w:val="2"/>
        </w:rPr>
        <w:t>趋势四：数据将进一步开放与共享。在数字经济时代，数据已成为基础性战略资源，</w:t>
      </w:r>
      <w:r>
        <w:rPr>
          <w:color w:val="231F20"/>
          <w:spacing w:val="3"/>
        </w:rPr>
        <w:t xml:space="preserve"> </w:t>
      </w:r>
      <w:r>
        <w:rPr>
          <w:color w:val="231F20"/>
        </w:rPr>
        <w:t>作为新型生产要素之一，数据资产化已是必然趋势，而数据的开放共享则是深入挖掘数</w:t>
      </w:r>
      <w:r>
        <w:rPr>
          <w:color w:val="231F20"/>
          <w:spacing w:val="-1"/>
        </w:rPr>
        <w:t>据 </w:t>
      </w:r>
      <w:r>
        <w:rPr>
          <w:color w:val="231F20"/>
          <w:spacing w:val="2"/>
        </w:rPr>
        <w:t>资产价值的基础。从</w:t>
      </w:r>
      <w:r>
        <w:rPr>
          <w:color w:val="231F20"/>
          <w:spacing w:val="-39"/>
        </w:rPr>
        <w:t xml:space="preserve"> </w:t>
      </w:r>
      <w:r>
        <w:rPr>
          <w:rFonts w:ascii="Times New Roman" w:hAnsi="Times New Roman" w:eastAsia="Times New Roman" w:cs="Times New Roman"/>
          <w:color w:val="231F20"/>
          <w:spacing w:val="2"/>
        </w:rPr>
        <w:t>2015 </w:t>
      </w:r>
      <w:r>
        <w:rPr>
          <w:color w:val="231F20"/>
          <w:spacing w:val="2"/>
        </w:rPr>
        <w:t>年</w:t>
      </w:r>
      <w:r>
        <w:rPr>
          <w:color w:val="231F20"/>
          <w:spacing w:val="-44"/>
        </w:rPr>
        <w:t xml:space="preserve"> </w:t>
      </w:r>
      <w:r>
        <w:rPr>
          <w:rFonts w:ascii="Times New Roman" w:hAnsi="Times New Roman" w:eastAsia="Times New Roman" w:cs="Times New Roman"/>
          <w:color w:val="231F20"/>
          <w:spacing w:val="2"/>
        </w:rPr>
        <w:t>9 </w:t>
      </w:r>
      <w:r>
        <w:rPr>
          <w:color w:val="231F20"/>
          <w:spacing w:val="2"/>
        </w:rPr>
        <w:t>月国务院发布《促进大数据发展行动纲要》至今</w:t>
      </w:r>
      <w:r>
        <w:rPr>
          <w:color w:val="231F20"/>
          <w:spacing w:val="1"/>
        </w:rPr>
        <w:t>，政府数 </w:t>
      </w:r>
      <w:r>
        <w:rPr>
          <w:color w:val="231F20"/>
          <w:spacing w:val="6"/>
        </w:rPr>
        <w:t>据的开放共享正不断推进，各方面资源进行了有效整合，综合治理能力大</w:t>
      </w:r>
      <w:r>
        <w:rPr>
          <w:color w:val="231F20"/>
          <w:spacing w:val="5"/>
        </w:rPr>
        <w:t>幅提升。</w:t>
      </w:r>
      <w:r>
        <w:rPr>
          <w:rFonts w:ascii="Times New Roman" w:hAnsi="Times New Roman" w:eastAsia="Times New Roman" w:cs="Times New Roman"/>
          <w:color w:val="231F20"/>
          <w:spacing w:val="5"/>
        </w:rPr>
        <w:t>2021</w:t>
      </w:r>
      <w:r>
        <w:rPr>
          <w:rFonts w:ascii="Times New Roman" w:hAnsi="Times New Roman" w:eastAsia="Times New Roman" w:cs="Times New Roman"/>
          <w:color w:val="231F20"/>
        </w:rPr>
        <w:t xml:space="preserve">  </w:t>
      </w:r>
      <w:r>
        <w:rPr>
          <w:color w:val="231F20"/>
        </w:rPr>
        <w:t>年《数据安全法》第五章专章规定，实现“政务数据安全与开放”，在基本形成跨部门</w:t>
      </w:r>
      <w:r>
        <w:rPr>
          <w:color w:val="231F20"/>
          <w:spacing w:val="-1"/>
        </w:rPr>
        <w:t>数 </w:t>
      </w:r>
      <w:r>
        <w:rPr>
          <w:color w:val="231F20"/>
        </w:rPr>
        <w:t>据资源共享共用格局后，由政府主导打通政府部门、企事业单位间的数据壁垒，建立数</w:t>
      </w:r>
      <w:r>
        <w:rPr>
          <w:color w:val="231F20"/>
          <w:spacing w:val="-1"/>
        </w:rPr>
        <w:t>据 </w:t>
      </w:r>
      <w:r>
        <w:rPr>
          <w:color w:val="231F20"/>
          <w:spacing w:val="4"/>
        </w:rPr>
        <w:t>共享开放平台，进一步推动实现政府公共数据的普遍开放。</w:t>
      </w:r>
      <w:r>
        <w:rPr>
          <w:rFonts w:ascii="Times New Roman" w:hAnsi="Times New Roman" w:eastAsia="Times New Roman" w:cs="Times New Roman"/>
          <w:color w:val="231F20"/>
          <w:spacing w:val="4"/>
        </w:rPr>
        <w:t>202</w:t>
      </w:r>
      <w:r>
        <w:rPr>
          <w:rFonts w:ascii="Times New Roman" w:hAnsi="Times New Roman" w:eastAsia="Times New Roman" w:cs="Times New Roman"/>
          <w:color w:val="231F20"/>
          <w:spacing w:val="3"/>
        </w:rPr>
        <w:t>2 </w:t>
      </w:r>
      <w:r>
        <w:rPr>
          <w:color w:val="231F20"/>
          <w:spacing w:val="3"/>
        </w:rPr>
        <w:t>年，随着全社会的数据 </w:t>
      </w:r>
      <w:r>
        <w:rPr>
          <w:color w:val="231F20"/>
          <w:spacing w:val="2"/>
        </w:rPr>
        <w:t>存储、数据挖掘、数据使用、数据参与意识逐渐觉醒，数据价值化的条件将进一步成熟，</w:t>
      </w:r>
    </w:p>
    <w:p>
      <w:pPr>
        <w:spacing w:line="277" w:lineRule="auto"/>
        <w:sectPr>
          <w:footerReference w:type="default" r:id="rId138"/>
          <w:pgSz w:w="10489" w:h="14741"/>
          <w:pgMar w:top="482" w:right="1072" w:bottom="734" w:left="564" w:header="0" w:footer="551" w:gutter="0"/>
        </w:sectPr>
        <w:rPr/>
      </w:pPr>
    </w:p>
    <w:p>
      <w:pPr>
        <w:spacing w:before="41" w:line="204" w:lineRule="auto"/>
        <w:jc w:val="right"/>
        <w:rPr>
          <w:sz w:val="18"/>
          <w:szCs w:val="18"/>
        </w:rPr>
      </w:pPr>
      <w:r>
        <w:rPr>
          <w:rFonts w:ascii="Microsoft YaHei" w:hAnsi="Microsoft YaHei" w:eastAsia="Microsoft YaHei" w:cs="Microsoft YaHei"/>
          <w:sz w:val="18"/>
          <w:szCs w:val="18"/>
          <w:color w:val="4B4C4D"/>
          <w:spacing w:val="-2"/>
        </w:rPr>
        <w:t>第 </w:t>
      </w:r>
      <w:r>
        <w:rPr>
          <w:rFonts w:ascii="Arial" w:hAnsi="Arial" w:eastAsia="Arial" w:cs="Arial"/>
          <w:sz w:val="18"/>
          <w:szCs w:val="18"/>
          <w:b/>
          <w:bCs/>
          <w:color w:val="4B4C4D"/>
          <w:spacing w:val="-2"/>
        </w:rPr>
        <w:t>1 </w:t>
      </w:r>
      <w:r>
        <w:rPr>
          <w:rFonts w:ascii="Microsoft YaHei" w:hAnsi="Microsoft YaHei" w:eastAsia="Microsoft YaHei" w:cs="Microsoft YaHei"/>
          <w:sz w:val="18"/>
          <w:szCs w:val="18"/>
          <w:color w:val="4B4C4D"/>
          <w:spacing w:val="-2"/>
        </w:rPr>
        <w:t>章</w:t>
      </w:r>
      <w:r>
        <w:rPr>
          <w:rFonts w:ascii="Microsoft YaHei" w:hAnsi="Microsoft YaHei" w:eastAsia="Microsoft YaHei" w:cs="Microsoft YaHei"/>
          <w:sz w:val="18"/>
          <w:szCs w:val="18"/>
          <w:color w:val="4B4C4D"/>
          <w:spacing w:val="9"/>
        </w:rPr>
        <w:t xml:space="preserve">   </w:t>
      </w:r>
      <w:r>
        <w:rPr>
          <w:rFonts w:ascii="Microsoft YaHei" w:hAnsi="Microsoft YaHei" w:eastAsia="Microsoft YaHei" w:cs="Microsoft YaHei"/>
          <w:sz w:val="18"/>
          <w:szCs w:val="18"/>
          <w:color w:val="4B4C4D"/>
          <w:spacing w:val="-2"/>
        </w:rPr>
        <w:t>数据与数据治理  </w:t>
      </w:r>
      <w:r>
        <w:rPr>
          <w:sz w:val="18"/>
          <w:szCs w:val="18"/>
          <w:position w:val="-2"/>
        </w:rPr>
        <w:drawing>
          <wp:inline distT="0" distB="0" distL="0" distR="0">
            <wp:extent cx="339153" cy="105117"/>
            <wp:effectExtent l="0" t="0" r="0" b="0"/>
            <wp:docPr id="220" name="IM 220"/>
            <wp:cNvGraphicFramePr/>
            <a:graphic>
              <a:graphicData uri="http://schemas.openxmlformats.org/drawingml/2006/picture">
                <pic:pic>
                  <pic:nvPicPr>
                    <pic:cNvPr id="220" name="IM 220"/>
                    <pic:cNvPicPr/>
                  </pic:nvPicPr>
                  <pic:blipFill>
                    <a:blip r:embed="rId143"/>
                    <a:stretch>
                      <a:fillRect/>
                    </a:stretch>
                  </pic:blipFill>
                  <pic:spPr>
                    <a:xfrm rot="0">
                      <a:off x="0" y="0"/>
                      <a:ext cx="339153" cy="105117"/>
                    </a:xfrm>
                    <a:prstGeom prst="rect">
                      <a:avLst/>
                    </a:prstGeom>
                  </pic:spPr>
                </pic:pic>
              </a:graphicData>
            </a:graphic>
          </wp:inline>
        </w:drawing>
      </w:r>
    </w:p>
    <w:p>
      <w:pPr>
        <w:spacing w:line="306" w:lineRule="auto"/>
        <w:rPr>
          <w:rFonts w:ascii="Arial"/>
          <w:sz w:val="21"/>
        </w:rPr>
      </w:pPr>
      <w:r/>
    </w:p>
    <w:p>
      <w:pPr>
        <w:pStyle w:val="BodyText"/>
        <w:ind w:left="3" w:right="645" w:firstLine="1"/>
        <w:spacing w:before="68" w:line="272" w:lineRule="auto"/>
        <w:jc w:val="both"/>
        <w:rPr/>
      </w:pPr>
      <w:r>
        <w:rPr>
          <w:color w:val="231F20"/>
        </w:rPr>
        <w:t>数据的所有权、使用权、增值权以及数据红利的释放权、分配权有望在新的一年里确定更</w:t>
      </w:r>
      <w:r>
        <w:rPr>
          <w:color w:val="231F20"/>
          <w:spacing w:val="18"/>
        </w:rPr>
        <w:t xml:space="preserve"> </w:t>
      </w:r>
      <w:r>
        <w:rPr>
          <w:color w:val="231F20"/>
        </w:rPr>
        <w:t>加清晰的边界，数据要素价值将得到更有效的释放。此外，在数据不断标准化、共享化的</w:t>
      </w:r>
      <w:r>
        <w:rPr>
          <w:color w:val="231F20"/>
          <w:spacing w:val="2"/>
        </w:rPr>
        <w:t xml:space="preserve"> </w:t>
      </w:r>
      <w:r>
        <w:rPr>
          <w:color w:val="231F20"/>
        </w:rPr>
        <w:t>同时，行业的数据标准建设进程也将进一步加快，无论是政府、行业数据，还是企业内部</w:t>
      </w:r>
      <w:r>
        <w:rPr>
          <w:color w:val="231F20"/>
          <w:spacing w:val="7"/>
        </w:rPr>
        <w:t xml:space="preserve"> </w:t>
      </w:r>
      <w:r>
        <w:rPr>
          <w:color w:val="231F20"/>
        </w:rPr>
        <w:t>数据，都将遵循一个相互认可的数据标准、处理规程。这也将进一步推动国家、企业建立</w:t>
      </w:r>
      <w:r>
        <w:rPr>
          <w:color w:val="231F20"/>
          <w:spacing w:val="11"/>
        </w:rPr>
        <w:t xml:space="preserve"> </w:t>
      </w:r>
      <w:r>
        <w:rPr>
          <w:color w:val="231F20"/>
          <w:spacing w:val="-2"/>
        </w:rPr>
        <w:t>相关相应的数据治理标准、路径与方法。</w:t>
      </w:r>
    </w:p>
    <w:p>
      <w:pPr>
        <w:pStyle w:val="BodyText"/>
        <w:ind w:right="583" w:firstLine="428"/>
        <w:spacing w:before="73" w:line="279" w:lineRule="auto"/>
        <w:jc w:val="both"/>
        <w:rPr/>
      </w:pPr>
      <w:r>
        <w:rPr>
          <w:color w:val="231F20"/>
          <w:spacing w:val="2"/>
        </w:rPr>
        <w:t>趋势五：数据安全仍是贯穿数据治理各环节的核心重点。随着数字经济时代的到来，</w:t>
      </w:r>
      <w:r>
        <w:rPr>
          <w:color w:val="231F20"/>
          <w:spacing w:val="4"/>
        </w:rPr>
        <w:t xml:space="preserve"> </w:t>
      </w:r>
      <w:r>
        <w:rPr>
          <w:color w:val="231F20"/>
        </w:rPr>
        <w:t>国家、企业和个人对网络的依赖程度不断加深，数据安全成为国家安全和经济社会稳定运 </w:t>
      </w:r>
      <w:r>
        <w:rPr>
          <w:color w:val="231F20"/>
          <w:spacing w:val="5"/>
        </w:rPr>
        <w:t>行的基础。另外，人们的日常生活工作都离不开网络，个人和法人等主体的身份、财产 </w:t>
      </w:r>
      <w:r>
        <w:rPr>
          <w:color w:val="231F20"/>
          <w:spacing w:val="5"/>
        </w:rPr>
        <w:t>和活动等都将以数据形态呈现。因此，海量、多元和非结构化已经成了数据发展的新常 </w:t>
      </w:r>
      <w:r>
        <w:rPr>
          <w:color w:val="231F20"/>
        </w:rPr>
        <w:t>态，这为数据治理带来了许多安全隐患。数据治理要做到安全先行，因此，数据安全治理 </w:t>
      </w:r>
      <w:r>
        <w:rPr>
          <w:color w:val="231F20"/>
        </w:rPr>
        <w:t>仍将是各组织进行数据治理的核心重点之一。数据安全正步入法治化和战略性轨道。截至 </w:t>
      </w:r>
      <w:r>
        <w:rPr>
          <w:rFonts w:ascii="Times New Roman" w:hAnsi="Times New Roman" w:eastAsia="Times New Roman" w:cs="Times New Roman"/>
          <w:color w:val="231F20"/>
          <w:spacing w:val="-6"/>
        </w:rPr>
        <w:t>2021 </w:t>
      </w:r>
      <w:r>
        <w:rPr>
          <w:color w:val="231F20"/>
          <w:spacing w:val="-6"/>
        </w:rPr>
        <w:t>年，我国的数据安全监管框架已经基本成型：《网络安全法》《数据安全法》《个人信 </w:t>
      </w:r>
      <w:r>
        <w:rPr>
          <w:color w:val="231F20"/>
          <w:spacing w:val="1"/>
        </w:rPr>
        <w:t>息保护法》三法为数据安全护航；此外，在银行、</w:t>
      </w:r>
      <w:r>
        <w:rPr>
          <w:color w:val="231F20"/>
        </w:rPr>
        <w:t>通信、工业、能源等领域也已经有一系 </w:t>
      </w:r>
      <w:r>
        <w:rPr>
          <w:color w:val="231F20"/>
        </w:rPr>
        <w:t>列条例规章从实践角度推动产业内数据安全治理体系的落地。数据安全与隐私保护至关重 </w:t>
      </w:r>
      <w:r>
        <w:rPr>
          <w:color w:val="231F20"/>
        </w:rPr>
        <w:t>要，目前国家与各行业都在通过政策、法规等完善数据安全的保护路径，逐步建立起多维 </w:t>
      </w:r>
      <w:r>
        <w:rPr>
          <w:color w:val="231F20"/>
          <w:spacing w:val="-1"/>
        </w:rPr>
        <w:t>度、多层面完整的数据安全保护体系，进而更好地推进数据的利用朝着健康的方向发展。</w:t>
      </w:r>
    </w:p>
    <w:p>
      <w:pPr>
        <w:spacing w:line="274" w:lineRule="auto"/>
        <w:rPr>
          <w:rFonts w:ascii="Arial"/>
          <w:sz w:val="21"/>
        </w:rPr>
      </w:pPr>
      <w:r/>
    </w:p>
    <w:p>
      <w:pPr>
        <w:ind w:left="16"/>
        <w:spacing w:before="112" w:line="205" w:lineRule="auto"/>
        <w:rPr>
          <w:rFonts w:ascii="Microsoft YaHei" w:hAnsi="Microsoft YaHei" w:eastAsia="Microsoft YaHei" w:cs="Microsoft YaHei"/>
          <w:sz w:val="26"/>
          <w:szCs w:val="26"/>
        </w:rPr>
      </w:pPr>
      <w:r>
        <w:rPr>
          <w:rFonts w:ascii="Arial" w:hAnsi="Arial" w:eastAsia="Arial" w:cs="Arial"/>
          <w:sz w:val="26"/>
          <w:szCs w:val="26"/>
          <w:b/>
          <w:bCs/>
          <w:color w:val="231F20"/>
          <w:spacing w:val="-5"/>
        </w:rPr>
        <w:t>1.5</w:t>
      </w:r>
      <w:r>
        <w:rPr>
          <w:rFonts w:ascii="Arial" w:hAnsi="Arial" w:eastAsia="Arial" w:cs="Arial"/>
          <w:sz w:val="26"/>
          <w:szCs w:val="26"/>
          <w:b/>
          <w:bCs/>
          <w:color w:val="231F20"/>
          <w:spacing w:val="18"/>
        </w:rPr>
        <w:t xml:space="preserve">   </w:t>
      </w:r>
      <w:r>
        <w:rPr>
          <w:rFonts w:ascii="Microsoft YaHei" w:hAnsi="Microsoft YaHei" w:eastAsia="Microsoft YaHei" w:cs="Microsoft YaHei"/>
          <w:sz w:val="26"/>
          <w:szCs w:val="26"/>
          <w:color w:val="231F20"/>
          <w:spacing w:val="-5"/>
        </w:rPr>
        <w:t>思考题</w:t>
      </w:r>
    </w:p>
    <w:p>
      <w:pPr>
        <w:pStyle w:val="BodyText"/>
        <w:ind w:left="445"/>
        <w:spacing w:before="274" w:line="219" w:lineRule="auto"/>
        <w:rPr/>
      </w:pPr>
      <w:r>
        <w:rPr>
          <w:rFonts w:ascii="Times New Roman" w:hAnsi="Times New Roman" w:eastAsia="Times New Roman" w:cs="Times New Roman"/>
          <w:color w:val="231F20"/>
          <w:spacing w:val="-3"/>
        </w:rPr>
        <w:t>1. </w:t>
      </w:r>
      <w:r>
        <w:rPr>
          <w:color w:val="231F20"/>
          <w:spacing w:val="-3"/>
        </w:rPr>
        <w:t>请谈谈你对数据价值延伸的看法。</w:t>
      </w:r>
    </w:p>
    <w:p>
      <w:pPr>
        <w:pStyle w:val="BodyText"/>
        <w:ind w:left="425"/>
        <w:spacing w:before="75" w:line="324" w:lineRule="exact"/>
        <w:rPr/>
      </w:pPr>
      <w:r>
        <w:rPr>
          <w:rFonts w:ascii="Times New Roman" w:hAnsi="Times New Roman" w:eastAsia="Times New Roman" w:cs="Times New Roman"/>
          <w:color w:val="231F20"/>
          <w:spacing w:val="-2"/>
          <w:position w:val="8"/>
        </w:rPr>
        <w:t>2. </w:t>
      </w:r>
      <w:r>
        <w:rPr>
          <w:color w:val="231F20"/>
          <w:spacing w:val="-2"/>
          <w:position w:val="8"/>
        </w:rPr>
        <w:t>试分析建立数据治理道德准则的必要性和可行性。</w:t>
      </w:r>
    </w:p>
    <w:p>
      <w:pPr>
        <w:pStyle w:val="BodyText"/>
        <w:ind w:left="429"/>
        <w:spacing w:line="220" w:lineRule="auto"/>
        <w:rPr/>
      </w:pPr>
      <w:r>
        <w:rPr>
          <w:rFonts w:ascii="Times New Roman" w:hAnsi="Times New Roman" w:eastAsia="Times New Roman" w:cs="Times New Roman"/>
          <w:color w:val="231F20"/>
          <w:spacing w:val="-2"/>
        </w:rPr>
        <w:t>3. </w:t>
      </w:r>
      <w:r>
        <w:rPr>
          <w:color w:val="231F20"/>
          <w:spacing w:val="-2"/>
        </w:rPr>
        <w:t>请概括总结数据治理发展的现状和趋势。</w:t>
      </w:r>
    </w:p>
    <w:sectPr>
      <w:footerReference w:type="default" r:id="rId142"/>
      <w:pgSz w:w="10489" w:h="14741"/>
      <w:pgMar w:top="679" w:right="489" w:bottom="734" w:left="1138" w:header="0" w:footer="55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11"/>
      <w:spacing w:line="199" w:lineRule="auto"/>
      <w:rPr>
        <w:rFonts w:ascii="Arial" w:hAnsi="Arial" w:eastAsia="Arial" w:cs="Arial"/>
        <w:sz w:val="18"/>
        <w:szCs w:val="18"/>
      </w:rPr>
    </w:pPr>
    <w:r>
      <w:rPr>
        <w:rFonts w:ascii="Arial" w:hAnsi="Arial" w:eastAsia="Arial" w:cs="Arial"/>
        <w:sz w:val="18"/>
        <w:szCs w:val="18"/>
        <w:color w:val="231F20"/>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
      <w:spacing w:line="199" w:lineRule="auto"/>
      <w:rPr>
        <w:rFonts w:ascii="Arial" w:hAnsi="Arial" w:eastAsia="Arial" w:cs="Arial"/>
        <w:sz w:val="18"/>
        <w:szCs w:val="18"/>
      </w:rPr>
    </w:pPr>
    <w:r>
      <w:rPr>
        <w:rFonts w:ascii="Arial" w:hAnsi="Arial" w:eastAsia="Arial" w:cs="Arial"/>
        <w:sz w:val="18"/>
        <w:szCs w:val="18"/>
        <w:color w:val="231F20"/>
        <w:spacing w:val="-1"/>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9" w:lineRule="auto"/>
      <w:jc w:val="right"/>
      <w:rPr>
        <w:rFonts w:ascii="Arial" w:hAnsi="Arial" w:eastAsia="Arial" w:cs="Arial"/>
        <w:sz w:val="18"/>
        <w:szCs w:val="18"/>
      </w:rPr>
    </w:pPr>
    <w:r>
      <w:rPr>
        <w:rFonts w:ascii="Arial" w:hAnsi="Arial" w:eastAsia="Arial" w:cs="Arial"/>
        <w:sz w:val="18"/>
        <w:szCs w:val="18"/>
        <w:color w:val="231F20"/>
        <w:spacing w:val="-2"/>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
      <w:spacing w:line="200" w:lineRule="auto"/>
      <w:rPr>
        <w:rFonts w:ascii="Arial" w:hAnsi="Arial" w:eastAsia="Arial" w:cs="Arial"/>
        <w:sz w:val="18"/>
        <w:szCs w:val="18"/>
      </w:rPr>
    </w:pPr>
    <w:r>
      <w:rPr>
        <w:rFonts w:ascii="Arial" w:hAnsi="Arial" w:eastAsia="Arial" w:cs="Arial"/>
        <w:sz w:val="18"/>
        <w:szCs w:val="18"/>
        <w:color w:val="231F20"/>
        <w:spacing w:val="-2"/>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9" w:lineRule="auto"/>
      <w:jc w:val="right"/>
      <w:rPr>
        <w:rFonts w:ascii="Arial" w:hAnsi="Arial" w:eastAsia="Arial" w:cs="Arial"/>
        <w:sz w:val="18"/>
        <w:szCs w:val="18"/>
      </w:rPr>
    </w:pPr>
    <w:r>
      <w:rPr>
        <w:rFonts w:ascii="Arial" w:hAnsi="Arial" w:eastAsia="Arial" w:cs="Arial"/>
        <w:sz w:val="18"/>
        <w:szCs w:val="18"/>
        <w:color w:val="231F20"/>
        <w:spacing w:val="-2"/>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
      <w:spacing w:line="200" w:lineRule="auto"/>
      <w:rPr>
        <w:rFonts w:ascii="Arial" w:hAnsi="Arial" w:eastAsia="Arial" w:cs="Arial"/>
        <w:sz w:val="18"/>
        <w:szCs w:val="18"/>
      </w:rPr>
    </w:pPr>
    <w:r>
      <w:rPr>
        <w:rFonts w:ascii="Arial" w:hAnsi="Arial" w:eastAsia="Arial" w:cs="Arial"/>
        <w:sz w:val="18"/>
        <w:szCs w:val="18"/>
        <w:color w:val="231F20"/>
        <w:spacing w:val="-1"/>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9" w:lineRule="auto"/>
      <w:jc w:val="right"/>
      <w:rPr>
        <w:rFonts w:ascii="Arial" w:hAnsi="Arial" w:eastAsia="Arial" w:cs="Arial"/>
        <w:sz w:val="18"/>
        <w:szCs w:val="18"/>
      </w:rPr>
    </w:pPr>
    <w:r>
      <w:rPr>
        <w:rFonts w:ascii="Arial" w:hAnsi="Arial" w:eastAsia="Arial" w:cs="Arial"/>
        <w:sz w:val="18"/>
        <w:szCs w:val="18"/>
        <w:color w:val="231F20"/>
        <w:spacing w:val="-2"/>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
      <w:spacing w:line="200" w:lineRule="auto"/>
      <w:rPr>
        <w:rFonts w:ascii="Arial" w:hAnsi="Arial" w:eastAsia="Arial" w:cs="Arial"/>
        <w:sz w:val="18"/>
        <w:szCs w:val="18"/>
      </w:rPr>
    </w:pPr>
    <w:r>
      <w:rPr>
        <w:rFonts w:ascii="Arial" w:hAnsi="Arial" w:eastAsia="Arial" w:cs="Arial"/>
        <w:sz w:val="18"/>
        <w:szCs w:val="18"/>
        <w:color w:val="231F20"/>
        <w:spacing w:val="-1"/>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00" w:lineRule="auto"/>
      <w:jc w:val="right"/>
      <w:rPr>
        <w:rFonts w:ascii="Arial" w:hAnsi="Arial" w:eastAsia="Arial" w:cs="Arial"/>
        <w:sz w:val="18"/>
        <w:szCs w:val="18"/>
      </w:rPr>
    </w:pPr>
    <w:r>
      <w:rPr>
        <w:rFonts w:ascii="Arial" w:hAnsi="Arial" w:eastAsia="Arial" w:cs="Arial"/>
        <w:sz w:val="18"/>
        <w:szCs w:val="18"/>
        <w:color w:val="231F20"/>
        <w:spacing w:val="-2"/>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
      <w:spacing w:line="199" w:lineRule="auto"/>
      <w:rPr>
        <w:rFonts w:ascii="Arial" w:hAnsi="Arial" w:eastAsia="Arial" w:cs="Arial"/>
        <w:sz w:val="18"/>
        <w:szCs w:val="18"/>
      </w:rPr>
    </w:pPr>
    <w:r>
      <w:rPr>
        <w:rFonts w:ascii="Arial" w:hAnsi="Arial" w:eastAsia="Arial" w:cs="Arial"/>
        <w:sz w:val="18"/>
        <w:szCs w:val="18"/>
        <w:color w:val="231F20"/>
        <w:spacing w:val="-1"/>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00" w:lineRule="auto"/>
      <w:jc w:val="right"/>
      <w:rPr>
        <w:rFonts w:ascii="Arial" w:hAnsi="Arial" w:eastAsia="Arial" w:cs="Arial"/>
        <w:sz w:val="18"/>
        <w:szCs w:val="18"/>
      </w:rPr>
    </w:pPr>
    <w:r>
      <w:rPr>
        <w:rFonts w:ascii="Arial" w:hAnsi="Arial" w:eastAsia="Arial" w:cs="Arial"/>
        <w:sz w:val="18"/>
        <w:szCs w:val="18"/>
        <w:color w:val="231F20"/>
        <w:spacing w:val="-2"/>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200" w:lineRule="auto"/>
      <w:rPr>
        <w:rFonts w:ascii="Arial" w:hAnsi="Arial" w:eastAsia="Arial" w:cs="Arial"/>
        <w:sz w:val="18"/>
        <w:szCs w:val="18"/>
      </w:rPr>
    </w:pPr>
    <w:r>
      <w:rPr>
        <w:rFonts w:ascii="Arial" w:hAnsi="Arial" w:eastAsia="Arial" w:cs="Arial"/>
        <w:sz w:val="18"/>
        <w:szCs w:val="18"/>
        <w:color w:val="231F20"/>
        <w:spacing w:val="1"/>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200" w:lineRule="auto"/>
      <w:rPr>
        <w:rFonts w:ascii="Arial" w:hAnsi="Arial" w:eastAsia="Arial" w:cs="Arial"/>
        <w:sz w:val="18"/>
        <w:szCs w:val="18"/>
      </w:rPr>
    </w:pPr>
    <w:r>
      <w:rPr>
        <w:rFonts w:ascii="Arial" w:hAnsi="Arial" w:eastAsia="Arial" w:cs="Arial"/>
        <w:sz w:val="18"/>
        <w:szCs w:val="18"/>
        <w:color w:val="231F20"/>
        <w:spacing w:val="5"/>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00" w:lineRule="auto"/>
      <w:jc w:val="right"/>
      <w:rPr>
        <w:rFonts w:ascii="Arial" w:hAnsi="Arial" w:eastAsia="Arial" w:cs="Arial"/>
        <w:sz w:val="18"/>
        <w:szCs w:val="18"/>
      </w:rPr>
    </w:pPr>
    <w:r>
      <w:rPr>
        <w:rFonts w:ascii="Arial" w:hAnsi="Arial" w:eastAsia="Arial" w:cs="Arial"/>
        <w:sz w:val="18"/>
        <w:szCs w:val="18"/>
        <w:color w:val="231F20"/>
        <w:spacing w:val="5"/>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200" w:lineRule="auto"/>
      <w:rPr>
        <w:rFonts w:ascii="Arial" w:hAnsi="Arial" w:eastAsia="Arial" w:cs="Arial"/>
        <w:sz w:val="18"/>
        <w:szCs w:val="18"/>
      </w:rPr>
    </w:pPr>
    <w:r>
      <w:rPr>
        <w:rFonts w:ascii="Arial" w:hAnsi="Arial" w:eastAsia="Arial" w:cs="Arial"/>
        <w:sz w:val="18"/>
        <w:szCs w:val="18"/>
        <w:color w:val="231F20"/>
        <w:spacing w:val="5"/>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646"/>
      <w:spacing w:line="200" w:lineRule="auto"/>
      <w:rPr>
        <w:rFonts w:ascii="Arial" w:hAnsi="Arial" w:eastAsia="Arial" w:cs="Arial"/>
        <w:sz w:val="18"/>
        <w:szCs w:val="18"/>
      </w:rPr>
    </w:pPr>
    <w:r>
      <w:rPr>
        <w:rFonts w:ascii="Arial" w:hAnsi="Arial" w:eastAsia="Arial" w:cs="Arial"/>
        <w:sz w:val="18"/>
        <w:szCs w:val="18"/>
        <w:color w:val="231F20"/>
        <w:spacing w:val="5"/>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201" w:lineRule="auto"/>
      <w:rPr>
        <w:rFonts w:ascii="Arial" w:hAnsi="Arial" w:eastAsia="Arial" w:cs="Arial"/>
        <w:sz w:val="18"/>
        <w:szCs w:val="18"/>
      </w:rPr>
    </w:pPr>
    <w:r>
      <w:rPr>
        <w:rFonts w:ascii="Arial" w:hAnsi="Arial" w:eastAsia="Arial" w:cs="Arial"/>
        <w:sz w:val="18"/>
        <w:szCs w:val="18"/>
        <w:color w:val="231F20"/>
        <w:spacing w:val="6"/>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00" w:lineRule="auto"/>
      <w:jc w:val="right"/>
      <w:rPr>
        <w:rFonts w:ascii="Arial" w:hAnsi="Arial" w:eastAsia="Arial" w:cs="Arial"/>
        <w:sz w:val="18"/>
        <w:szCs w:val="18"/>
      </w:rPr>
    </w:pPr>
    <w:r>
      <w:rPr>
        <w:rFonts w:ascii="Arial" w:hAnsi="Arial" w:eastAsia="Arial" w:cs="Arial"/>
        <w:sz w:val="18"/>
        <w:szCs w:val="18"/>
        <w:color w:val="231F20"/>
        <w:spacing w:val="5"/>
      </w:rPr>
      <w:t>25</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9" w:lineRule="auto"/>
      <w:jc w:val="right"/>
      <w:rPr>
        <w:rFonts w:ascii="Arial" w:hAnsi="Arial" w:eastAsia="Arial" w:cs="Arial"/>
        <w:sz w:val="18"/>
        <w:szCs w:val="18"/>
      </w:rPr>
    </w:pPr>
    <w:r>
      <w:rPr>
        <w:rFonts w:ascii="Arial" w:hAnsi="Arial" w:eastAsia="Arial" w:cs="Arial"/>
        <w:sz w:val="18"/>
        <w:szCs w:val="18"/>
        <w:color w:val="231F20"/>
        <w:spacing w:val="1"/>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
      <w:spacing w:line="200" w:lineRule="auto"/>
      <w:rPr>
        <w:rFonts w:ascii="Arial" w:hAnsi="Arial" w:eastAsia="Arial" w:cs="Arial"/>
        <w:sz w:val="18"/>
        <w:szCs w:val="18"/>
      </w:rPr>
    </w:pPr>
    <w:r>
      <w:rPr>
        <w:rFonts w:ascii="Arial" w:hAnsi="Arial" w:eastAsia="Arial" w:cs="Arial"/>
        <w:sz w:val="18"/>
        <w:szCs w:val="18"/>
        <w:color w:val="231F20"/>
        <w:spacing w:val="7"/>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6" w:lineRule="auto"/>
      <w:jc w:val="right"/>
      <w:rPr>
        <w:rFonts w:ascii="Arial" w:hAnsi="Arial" w:eastAsia="Arial" w:cs="Arial"/>
        <w:sz w:val="18"/>
        <w:szCs w:val="18"/>
      </w:rPr>
    </w:pPr>
    <w:r>
      <w:rPr>
        <w:rFonts w:ascii="Arial" w:hAnsi="Arial" w:eastAsia="Arial" w:cs="Arial"/>
        <w:sz w:val="18"/>
        <w:szCs w:val="18"/>
        <w:color w:val="231F20"/>
        <w:spacing w:val="1"/>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0"/>
      <w:spacing w:line="200" w:lineRule="auto"/>
      <w:rPr>
        <w:rFonts w:ascii="Arial" w:hAnsi="Arial" w:eastAsia="Arial" w:cs="Arial"/>
        <w:sz w:val="18"/>
        <w:szCs w:val="18"/>
      </w:rPr>
    </w:pPr>
    <w:r>
      <w:rPr>
        <w:rFonts w:ascii="Arial" w:hAnsi="Arial" w:eastAsia="Arial" w:cs="Arial"/>
        <w:sz w:val="18"/>
        <w:szCs w:val="18"/>
        <w:color w:val="231F20"/>
        <w:spacing w:val="3"/>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6" w:lineRule="auto"/>
      <w:jc w:val="right"/>
      <w:rPr>
        <w:rFonts w:ascii="Arial" w:hAnsi="Arial" w:eastAsia="Arial" w:cs="Arial"/>
        <w:sz w:val="18"/>
        <w:szCs w:val="18"/>
      </w:rPr>
    </w:pPr>
    <w:r>
      <w:rPr>
        <w:rFonts w:ascii="Arial" w:hAnsi="Arial" w:eastAsia="Arial" w:cs="Arial"/>
        <w:sz w:val="18"/>
        <w:szCs w:val="18"/>
        <w:color w:val="231F20"/>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
      <w:spacing w:line="199" w:lineRule="auto"/>
      <w:rPr>
        <w:rFonts w:ascii="Arial" w:hAnsi="Arial" w:eastAsia="Arial" w:cs="Arial"/>
        <w:sz w:val="18"/>
        <w:szCs w:val="18"/>
      </w:rPr>
    </w:pPr>
    <w:r>
      <w:rPr>
        <w:rFonts w:ascii="Arial" w:hAnsi="Arial" w:eastAsia="Arial" w:cs="Arial"/>
        <w:sz w:val="18"/>
        <w:szCs w:val="18"/>
        <w:color w:val="231F20"/>
        <w:spacing w:val="3"/>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55"/>
      <w:spacing w:line="200" w:lineRule="auto"/>
      <w:rPr>
        <w:rFonts w:ascii="Arial" w:hAnsi="Arial" w:eastAsia="Arial" w:cs="Arial"/>
        <w:sz w:val="18"/>
        <w:szCs w:val="18"/>
      </w:rPr>
    </w:pPr>
    <w:r>
      <w:rPr>
        <w:rFonts w:ascii="Arial" w:hAnsi="Arial" w:eastAsia="Arial" w:cs="Arial"/>
        <w:sz w:val="18"/>
        <w:szCs w:val="18"/>
        <w:color w:val="231F20"/>
        <w:spacing w:val="1"/>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82.png"/><Relationship Id="rId98" Type="http://schemas.openxmlformats.org/officeDocument/2006/relationships/image" Target="media/image81.png"/><Relationship Id="rId97" Type="http://schemas.openxmlformats.org/officeDocument/2006/relationships/image" Target="media/image80.png"/><Relationship Id="rId96" Type="http://schemas.openxmlformats.org/officeDocument/2006/relationships/image" Target="media/image79.png"/><Relationship Id="rId95" Type="http://schemas.openxmlformats.org/officeDocument/2006/relationships/image" Target="media/image78.png"/><Relationship Id="rId94" Type="http://schemas.openxmlformats.org/officeDocument/2006/relationships/image" Target="media/image77.png"/><Relationship Id="rId93" Type="http://schemas.openxmlformats.org/officeDocument/2006/relationships/image" Target="media/image76.png"/><Relationship Id="rId92" Type="http://schemas.openxmlformats.org/officeDocument/2006/relationships/image" Target="media/image75.png"/><Relationship Id="rId91" Type="http://schemas.openxmlformats.org/officeDocument/2006/relationships/image" Target="media/image74.png"/><Relationship Id="rId90" Type="http://schemas.openxmlformats.org/officeDocument/2006/relationships/image" Target="media/image73.png"/><Relationship Id="rId9" Type="http://schemas.openxmlformats.org/officeDocument/2006/relationships/image" Target="media/image8.png"/><Relationship Id="rId89" Type="http://schemas.openxmlformats.org/officeDocument/2006/relationships/image" Target="media/image72.png"/><Relationship Id="rId88" Type="http://schemas.openxmlformats.org/officeDocument/2006/relationships/image" Target="media/image71.png"/><Relationship Id="rId87" Type="http://schemas.openxmlformats.org/officeDocument/2006/relationships/image" Target="media/image70.png"/><Relationship Id="rId86" Type="http://schemas.openxmlformats.org/officeDocument/2006/relationships/footer" Target="footer17.xml"/><Relationship Id="rId85" Type="http://schemas.openxmlformats.org/officeDocument/2006/relationships/image" Target="media/image69.png"/><Relationship Id="rId84" Type="http://schemas.openxmlformats.org/officeDocument/2006/relationships/image" Target="media/image68.png"/><Relationship Id="rId83" Type="http://schemas.openxmlformats.org/officeDocument/2006/relationships/image" Target="media/image67.png"/><Relationship Id="rId82" Type="http://schemas.openxmlformats.org/officeDocument/2006/relationships/image" Target="media/image66.png"/><Relationship Id="rId81" Type="http://schemas.openxmlformats.org/officeDocument/2006/relationships/footer" Target="footer16.xml"/><Relationship Id="rId80" Type="http://schemas.openxmlformats.org/officeDocument/2006/relationships/image" Target="media/image65.png"/><Relationship Id="rId8" Type="http://schemas.openxmlformats.org/officeDocument/2006/relationships/image" Target="media/image7.png"/><Relationship Id="rId79" Type="http://schemas.openxmlformats.org/officeDocument/2006/relationships/image" Target="media/image64.png"/><Relationship Id="rId78" Type="http://schemas.openxmlformats.org/officeDocument/2006/relationships/image" Target="media/image63.png"/><Relationship Id="rId77" Type="http://schemas.openxmlformats.org/officeDocument/2006/relationships/image" Target="media/image62.png"/><Relationship Id="rId76" Type="http://schemas.openxmlformats.org/officeDocument/2006/relationships/image" Target="media/image61.png"/><Relationship Id="rId75" Type="http://schemas.openxmlformats.org/officeDocument/2006/relationships/image" Target="media/image60.png"/><Relationship Id="rId74" Type="http://schemas.openxmlformats.org/officeDocument/2006/relationships/image" Target="media/image59.png"/><Relationship Id="rId73" Type="http://schemas.openxmlformats.org/officeDocument/2006/relationships/image" Target="media/image58.png"/><Relationship Id="rId72" Type="http://schemas.openxmlformats.org/officeDocument/2006/relationships/image" Target="media/image57.png"/><Relationship Id="rId71" Type="http://schemas.openxmlformats.org/officeDocument/2006/relationships/footer" Target="footer15.xml"/><Relationship Id="rId70" Type="http://schemas.openxmlformats.org/officeDocument/2006/relationships/image" Target="media/image56.png"/><Relationship Id="rId7" Type="http://schemas.openxmlformats.org/officeDocument/2006/relationships/image" Target="media/image6.png"/><Relationship Id="rId69" Type="http://schemas.openxmlformats.org/officeDocument/2006/relationships/image" Target="media/image55.png"/><Relationship Id="rId68" Type="http://schemas.openxmlformats.org/officeDocument/2006/relationships/image" Target="media/image54.png"/><Relationship Id="rId67" Type="http://schemas.openxmlformats.org/officeDocument/2006/relationships/footer" Target="footer14.xml"/><Relationship Id="rId66" Type="http://schemas.openxmlformats.org/officeDocument/2006/relationships/image" Target="media/image53.png"/><Relationship Id="rId65" Type="http://schemas.openxmlformats.org/officeDocument/2006/relationships/footer" Target="footer13.xml"/><Relationship Id="rId64" Type="http://schemas.openxmlformats.org/officeDocument/2006/relationships/image" Target="media/image52.png"/><Relationship Id="rId63" Type="http://schemas.openxmlformats.org/officeDocument/2006/relationships/image" Target="media/image51.png"/><Relationship Id="rId62" Type="http://schemas.openxmlformats.org/officeDocument/2006/relationships/image" Target="media/image50.png"/><Relationship Id="rId61" Type="http://schemas.openxmlformats.org/officeDocument/2006/relationships/image" Target="media/image49.png"/><Relationship Id="rId60" Type="http://schemas.openxmlformats.org/officeDocument/2006/relationships/image" Target="media/image48.png"/><Relationship Id="rId6" Type="http://schemas.openxmlformats.org/officeDocument/2006/relationships/image" Target="media/image5.png"/><Relationship Id="rId59" Type="http://schemas.openxmlformats.org/officeDocument/2006/relationships/image" Target="media/image47.png"/><Relationship Id="rId58" Type="http://schemas.openxmlformats.org/officeDocument/2006/relationships/image" Target="media/image46.png"/><Relationship Id="rId57" Type="http://schemas.openxmlformats.org/officeDocument/2006/relationships/image" Target="media/image45.png"/><Relationship Id="rId56" Type="http://schemas.openxmlformats.org/officeDocument/2006/relationships/image" Target="media/image44.png"/><Relationship Id="rId55" Type="http://schemas.openxmlformats.org/officeDocument/2006/relationships/footer" Target="footer12.xml"/><Relationship Id="rId54" Type="http://schemas.openxmlformats.org/officeDocument/2006/relationships/image" Target="media/image43.png"/><Relationship Id="rId53" Type="http://schemas.openxmlformats.org/officeDocument/2006/relationships/footer" Target="footer11.xml"/><Relationship Id="rId52" Type="http://schemas.openxmlformats.org/officeDocument/2006/relationships/image" Target="media/image42.png"/><Relationship Id="rId51" Type="http://schemas.openxmlformats.org/officeDocument/2006/relationships/image" Target="media/image41.png"/><Relationship Id="rId50" Type="http://schemas.openxmlformats.org/officeDocument/2006/relationships/image" Target="media/image40.png"/><Relationship Id="rId5" Type="http://schemas.openxmlformats.org/officeDocument/2006/relationships/image" Target="media/image4.png"/><Relationship Id="rId49" Type="http://schemas.openxmlformats.org/officeDocument/2006/relationships/image" Target="media/image39.png"/><Relationship Id="rId48" Type="http://schemas.openxmlformats.org/officeDocument/2006/relationships/image" Target="media/image38.png"/><Relationship Id="rId47" Type="http://schemas.openxmlformats.org/officeDocument/2006/relationships/image" Target="media/image37.png"/><Relationship Id="rId46" Type="http://schemas.openxmlformats.org/officeDocument/2006/relationships/image" Target="media/image36.png"/><Relationship Id="rId45" Type="http://schemas.openxmlformats.org/officeDocument/2006/relationships/footer" Target="footer10.xml"/><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jpeg"/><Relationship Id="rId41" Type="http://schemas.openxmlformats.org/officeDocument/2006/relationships/footer" Target="footer9.xml"/><Relationship Id="rId40" Type="http://schemas.openxmlformats.org/officeDocument/2006/relationships/image" Target="media/image32.png"/><Relationship Id="rId4" Type="http://schemas.openxmlformats.org/officeDocument/2006/relationships/image" Target="media/image3.png"/><Relationship Id="rId39" Type="http://schemas.openxmlformats.org/officeDocument/2006/relationships/image" Target="media/image31.png"/><Relationship Id="rId38" Type="http://schemas.openxmlformats.org/officeDocument/2006/relationships/image" Target="media/image30.png"/><Relationship Id="rId37" Type="http://schemas.openxmlformats.org/officeDocument/2006/relationships/footer" Target="footer8.xml"/><Relationship Id="rId36" Type="http://schemas.openxmlformats.org/officeDocument/2006/relationships/image" Target="media/image29.png"/><Relationship Id="rId35" Type="http://schemas.openxmlformats.org/officeDocument/2006/relationships/footer" Target="footer7.xml"/><Relationship Id="rId34" Type="http://schemas.openxmlformats.org/officeDocument/2006/relationships/image" Target="media/image28.png"/><Relationship Id="rId33" Type="http://schemas.openxmlformats.org/officeDocument/2006/relationships/image" Target="media/image27.jpe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image" Target="media/image2.png"/><Relationship Id="rId29" Type="http://schemas.openxmlformats.org/officeDocument/2006/relationships/image" Target="media/image23.png"/><Relationship Id="rId28" Type="http://schemas.openxmlformats.org/officeDocument/2006/relationships/footer" Target="footer6.xml"/><Relationship Id="rId27" Type="http://schemas.openxmlformats.org/officeDocument/2006/relationships/image" Target="media/image22.png"/><Relationship Id="rId26" Type="http://schemas.openxmlformats.org/officeDocument/2006/relationships/footer" Target="footer5.xml"/><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footer" Target="footer4.xml"/><Relationship Id="rId20" Type="http://schemas.openxmlformats.org/officeDocument/2006/relationships/image" Target="media/image17.png"/><Relationship Id="rId2" Type="http://schemas.openxmlformats.org/officeDocument/2006/relationships/image" Target="media/image1.png"/><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footer" Target="footer3.xml"/><Relationship Id="rId15" Type="http://schemas.openxmlformats.org/officeDocument/2006/relationships/image" Target="media/image13.png"/><Relationship Id="rId146" Type="http://schemas.openxmlformats.org/officeDocument/2006/relationships/fontTable" Target="fontTable.xml"/><Relationship Id="rId145" Type="http://schemas.openxmlformats.org/officeDocument/2006/relationships/styles" Target="styles.xml"/><Relationship Id="rId144" Type="http://schemas.openxmlformats.org/officeDocument/2006/relationships/settings" Target="settings.xml"/><Relationship Id="rId143" Type="http://schemas.openxmlformats.org/officeDocument/2006/relationships/image" Target="media/image118.png"/><Relationship Id="rId142" Type="http://schemas.openxmlformats.org/officeDocument/2006/relationships/footer" Target="footer25.xml"/><Relationship Id="rId141" Type="http://schemas.openxmlformats.org/officeDocument/2006/relationships/image" Target="media/image117.png"/><Relationship Id="rId140" Type="http://schemas.openxmlformats.org/officeDocument/2006/relationships/image" Target="media/image116.png"/><Relationship Id="rId14" Type="http://schemas.openxmlformats.org/officeDocument/2006/relationships/image" Target="media/image12.png"/><Relationship Id="rId139" Type="http://schemas.openxmlformats.org/officeDocument/2006/relationships/image" Target="media/image115.png"/><Relationship Id="rId138" Type="http://schemas.openxmlformats.org/officeDocument/2006/relationships/footer" Target="footer24.xml"/><Relationship Id="rId137" Type="http://schemas.openxmlformats.org/officeDocument/2006/relationships/image" Target="media/image114.png"/><Relationship Id="rId136" Type="http://schemas.openxmlformats.org/officeDocument/2006/relationships/image" Target="media/image113.png"/><Relationship Id="rId135" Type="http://schemas.openxmlformats.org/officeDocument/2006/relationships/image" Target="media/image112.jpeg"/><Relationship Id="rId134" Type="http://schemas.openxmlformats.org/officeDocument/2006/relationships/footer" Target="footer23.xml"/><Relationship Id="rId133" Type="http://schemas.openxmlformats.org/officeDocument/2006/relationships/image" Target="media/image111.png"/><Relationship Id="rId132" Type="http://schemas.openxmlformats.org/officeDocument/2006/relationships/image" Target="media/image110.png"/><Relationship Id="rId131" Type="http://schemas.openxmlformats.org/officeDocument/2006/relationships/image" Target="media/image109.png"/><Relationship Id="rId130" Type="http://schemas.openxmlformats.org/officeDocument/2006/relationships/image" Target="media/image108.png"/><Relationship Id="rId13" Type="http://schemas.openxmlformats.org/officeDocument/2006/relationships/image" Target="media/image11.png"/><Relationship Id="rId129" Type="http://schemas.openxmlformats.org/officeDocument/2006/relationships/footer" Target="footer22.xml"/><Relationship Id="rId128" Type="http://schemas.openxmlformats.org/officeDocument/2006/relationships/image" Target="media/image107.png"/><Relationship Id="rId127" Type="http://schemas.openxmlformats.org/officeDocument/2006/relationships/image" Target="media/image106.png"/><Relationship Id="rId126" Type="http://schemas.openxmlformats.org/officeDocument/2006/relationships/image" Target="media/image105.png"/><Relationship Id="rId125" Type="http://schemas.openxmlformats.org/officeDocument/2006/relationships/image" Target="media/image104.png"/><Relationship Id="rId124" Type="http://schemas.openxmlformats.org/officeDocument/2006/relationships/image" Target="media/image103.png"/><Relationship Id="rId123" Type="http://schemas.openxmlformats.org/officeDocument/2006/relationships/image" Target="media/image102.png"/><Relationship Id="rId122" Type="http://schemas.openxmlformats.org/officeDocument/2006/relationships/footer" Target="footer21.xml"/><Relationship Id="rId121" Type="http://schemas.openxmlformats.org/officeDocument/2006/relationships/image" Target="media/image101.png"/><Relationship Id="rId120" Type="http://schemas.openxmlformats.org/officeDocument/2006/relationships/image" Target="media/image100.png"/><Relationship Id="rId12" Type="http://schemas.openxmlformats.org/officeDocument/2006/relationships/image" Target="media/image10.png"/><Relationship Id="rId119" Type="http://schemas.openxmlformats.org/officeDocument/2006/relationships/image" Target="media/image99.png"/><Relationship Id="rId118" Type="http://schemas.openxmlformats.org/officeDocument/2006/relationships/image" Target="media/image98.png"/><Relationship Id="rId117" Type="http://schemas.openxmlformats.org/officeDocument/2006/relationships/image" Target="media/image97.png"/><Relationship Id="rId116" Type="http://schemas.openxmlformats.org/officeDocument/2006/relationships/image" Target="media/image96.png"/><Relationship Id="rId115" Type="http://schemas.openxmlformats.org/officeDocument/2006/relationships/image" Target="media/image95.png"/><Relationship Id="rId114" Type="http://schemas.openxmlformats.org/officeDocument/2006/relationships/footer" Target="footer20.xml"/><Relationship Id="rId113" Type="http://schemas.openxmlformats.org/officeDocument/2006/relationships/image" Target="media/image94.png"/><Relationship Id="rId112" Type="http://schemas.openxmlformats.org/officeDocument/2006/relationships/image" Target="media/image93.png"/><Relationship Id="rId111" Type="http://schemas.openxmlformats.org/officeDocument/2006/relationships/footer" Target="footer19.xml"/><Relationship Id="rId110" Type="http://schemas.openxmlformats.org/officeDocument/2006/relationships/image" Target="media/image92.png"/><Relationship Id="rId11" Type="http://schemas.openxmlformats.org/officeDocument/2006/relationships/image" Target="media/image9.png"/><Relationship Id="rId109" Type="http://schemas.openxmlformats.org/officeDocument/2006/relationships/image" Target="media/image91.png"/><Relationship Id="rId108" Type="http://schemas.openxmlformats.org/officeDocument/2006/relationships/image" Target="media/image90.png"/><Relationship Id="rId107" Type="http://schemas.openxmlformats.org/officeDocument/2006/relationships/image" Target="media/image89.png"/><Relationship Id="rId106" Type="http://schemas.openxmlformats.org/officeDocument/2006/relationships/footer" Target="footer18.xml"/><Relationship Id="rId105" Type="http://schemas.openxmlformats.org/officeDocument/2006/relationships/image" Target="media/image88.png"/><Relationship Id="rId104" Type="http://schemas.openxmlformats.org/officeDocument/2006/relationships/image" Target="media/image87.png"/><Relationship Id="rId103" Type="http://schemas.openxmlformats.org/officeDocument/2006/relationships/image" Target="media/image86.png"/><Relationship Id="rId102" Type="http://schemas.openxmlformats.org/officeDocument/2006/relationships/image" Target="media/image85.png"/><Relationship Id="rId101" Type="http://schemas.openxmlformats.org/officeDocument/2006/relationships/image" Target="media/image84.png"/><Relationship Id="rId100" Type="http://schemas.openxmlformats.org/officeDocument/2006/relationships/image" Target="media/image83.png"/><Relationship Id="rId10"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2024-02-05T16:31:21Z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2024-02-05T16:31:27</vt:filetime>
  </property>
  <property fmtid="{D5CDD505-2E9C-101B-9397-08002B2CF9AE}" pid="4" name="UsrData">
    <vt:lpwstr>65c09cd81e6a08001f126371wl</vt:lpwstr>
  </property>
</Properties>
</file>